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D37716" w:rsidRPr="00BB1EBB" w:rsidRDefault="00D37716" w:rsidP="00D37716">
      <w:pPr>
        <w:ind w:left="6300" w:firstLine="3765"/>
        <w:rPr>
          <w:color w:val="000000"/>
          <w:sz w:val="20"/>
        </w:rPr>
      </w:pPr>
      <w:r w:rsidRPr="00BB1EBB">
        <w:rPr>
          <w:color w:val="000000"/>
          <w:sz w:val="20"/>
        </w:rPr>
        <w:t xml:space="preserve">Приложение </w:t>
      </w:r>
      <w:r w:rsidRPr="005735D7">
        <w:rPr>
          <w:color w:val="000000" w:themeColor="text1"/>
          <w:sz w:val="20"/>
        </w:rPr>
        <w:t xml:space="preserve">№ </w:t>
      </w:r>
      <w:r w:rsidR="00176FF4">
        <w:rPr>
          <w:color w:val="000000" w:themeColor="text1"/>
          <w:sz w:val="20"/>
        </w:rPr>
        <w:t>1</w:t>
      </w:r>
      <w:r w:rsidR="00DD7459">
        <w:rPr>
          <w:color w:val="000000" w:themeColor="text1"/>
          <w:sz w:val="20"/>
        </w:rPr>
        <w:t>7</w:t>
      </w:r>
      <w:bookmarkStart w:id="0" w:name="_GoBack"/>
      <w:bookmarkEnd w:id="0"/>
      <w:r w:rsidR="004F0834">
        <w:rPr>
          <w:color w:val="000000" w:themeColor="text1"/>
          <w:sz w:val="20"/>
        </w:rPr>
        <w:t xml:space="preserve"> </w:t>
      </w:r>
      <w:r w:rsidRPr="005735D7">
        <w:rPr>
          <w:color w:val="000000" w:themeColor="text1"/>
          <w:sz w:val="20"/>
        </w:rPr>
        <w:t xml:space="preserve">к </w:t>
      </w:r>
      <w:r w:rsidRPr="00BB1EBB">
        <w:rPr>
          <w:color w:val="000000"/>
          <w:sz w:val="20"/>
        </w:rPr>
        <w:t xml:space="preserve">протоколу </w:t>
      </w:r>
    </w:p>
    <w:p w:rsidR="00D37716" w:rsidRPr="00BB1EBB" w:rsidRDefault="00D37716" w:rsidP="00D37716">
      <w:pPr>
        <w:ind w:left="6300" w:firstLine="3765"/>
        <w:rPr>
          <w:color w:val="000000"/>
          <w:sz w:val="20"/>
        </w:rPr>
      </w:pPr>
      <w:r>
        <w:rPr>
          <w:color w:val="000000"/>
          <w:sz w:val="20"/>
        </w:rPr>
        <w:t>РГ РОА</w:t>
      </w:r>
      <w:r w:rsidRPr="00BB1EBB">
        <w:rPr>
          <w:color w:val="000000"/>
          <w:sz w:val="20"/>
        </w:rPr>
        <w:t xml:space="preserve"> № </w:t>
      </w:r>
      <w:r w:rsidR="004F0834">
        <w:rPr>
          <w:color w:val="000000"/>
          <w:sz w:val="20"/>
        </w:rPr>
        <w:t>1</w:t>
      </w:r>
      <w:r w:rsidR="00CA609F">
        <w:rPr>
          <w:color w:val="000000"/>
          <w:sz w:val="20"/>
        </w:rPr>
        <w:t>4</w:t>
      </w:r>
      <w:r w:rsidRPr="00BB1EBB">
        <w:rPr>
          <w:color w:val="000000"/>
          <w:sz w:val="20"/>
        </w:rPr>
        <w:t>-20</w:t>
      </w:r>
      <w:r w:rsidR="001D5819">
        <w:rPr>
          <w:color w:val="000000"/>
          <w:sz w:val="20"/>
        </w:rPr>
        <w:t>2</w:t>
      </w:r>
      <w:r w:rsidR="00CA609F">
        <w:rPr>
          <w:color w:val="000000"/>
          <w:sz w:val="20"/>
        </w:rPr>
        <w:t>1</w:t>
      </w:r>
    </w:p>
    <w:p w:rsidR="00151A9A" w:rsidRPr="008205FA" w:rsidRDefault="00151A9A" w:rsidP="00151A9A">
      <w:pPr>
        <w:spacing w:before="240" w:after="60"/>
        <w:jc w:val="center"/>
        <w:rPr>
          <w:b/>
          <w:sz w:val="24"/>
          <w:szCs w:val="24"/>
        </w:rPr>
      </w:pPr>
      <w:r w:rsidRPr="008205FA">
        <w:rPr>
          <w:b/>
          <w:sz w:val="24"/>
          <w:szCs w:val="24"/>
        </w:rPr>
        <w:t>ПРЕДЛОЖЕНИЯ</w:t>
      </w:r>
      <w:r w:rsidR="009B499A">
        <w:rPr>
          <w:b/>
          <w:sz w:val="24"/>
          <w:szCs w:val="24"/>
        </w:rPr>
        <w:t xml:space="preserve"> И ЗАМЕЧАНИЯ</w:t>
      </w:r>
    </w:p>
    <w:p w:rsidR="009B499A" w:rsidRDefault="004F0834" w:rsidP="00D3771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национальных органов</w:t>
      </w:r>
      <w:r w:rsidR="00151A9A" w:rsidRPr="00ED27D9">
        <w:rPr>
          <w:b/>
          <w:sz w:val="24"/>
          <w:szCs w:val="24"/>
        </w:rPr>
        <w:t xml:space="preserve"> </w:t>
      </w:r>
      <w:r w:rsidR="00DD1376">
        <w:rPr>
          <w:b/>
          <w:sz w:val="24"/>
          <w:szCs w:val="24"/>
        </w:rPr>
        <w:t xml:space="preserve">по </w:t>
      </w:r>
      <w:r w:rsidR="00B174C1">
        <w:rPr>
          <w:b/>
          <w:sz w:val="24"/>
          <w:szCs w:val="24"/>
        </w:rPr>
        <w:t xml:space="preserve">второй редакции </w:t>
      </w:r>
      <w:r w:rsidR="00B044C1">
        <w:rPr>
          <w:b/>
          <w:sz w:val="24"/>
          <w:szCs w:val="24"/>
        </w:rPr>
        <w:t>п</w:t>
      </w:r>
      <w:r w:rsidR="009B499A">
        <w:rPr>
          <w:b/>
          <w:sz w:val="24"/>
          <w:szCs w:val="24"/>
        </w:rPr>
        <w:t>роект</w:t>
      </w:r>
      <w:r w:rsidR="00B174C1">
        <w:rPr>
          <w:b/>
          <w:sz w:val="24"/>
          <w:szCs w:val="24"/>
        </w:rPr>
        <w:t>а</w:t>
      </w:r>
      <w:r w:rsidR="009B499A">
        <w:rPr>
          <w:b/>
          <w:sz w:val="24"/>
          <w:szCs w:val="24"/>
        </w:rPr>
        <w:t xml:space="preserve"> документа </w:t>
      </w:r>
    </w:p>
    <w:p w:rsidR="00D37716" w:rsidRPr="00B174C1" w:rsidRDefault="009B499A" w:rsidP="00D37716">
      <w:pPr>
        <w:jc w:val="center"/>
        <w:rPr>
          <w:b/>
          <w:bCs/>
          <w:sz w:val="24"/>
          <w:szCs w:val="24"/>
          <w:lang w:val="en-US"/>
        </w:rPr>
      </w:pPr>
      <w:r>
        <w:rPr>
          <w:b/>
          <w:sz w:val="24"/>
          <w:szCs w:val="24"/>
        </w:rPr>
        <w:t>«П</w:t>
      </w:r>
      <w:r w:rsidR="00B044C1">
        <w:rPr>
          <w:b/>
          <w:sz w:val="24"/>
          <w:szCs w:val="24"/>
        </w:rPr>
        <w:t>олитика по трансграничной аккредитации</w:t>
      </w:r>
      <w:r>
        <w:rPr>
          <w:b/>
          <w:bCs/>
          <w:sz w:val="24"/>
          <w:szCs w:val="24"/>
        </w:rPr>
        <w:t>»</w:t>
      </w:r>
      <w:r w:rsidR="00B174C1">
        <w:rPr>
          <w:b/>
          <w:bCs/>
          <w:sz w:val="24"/>
          <w:szCs w:val="24"/>
          <w:lang w:val="en-US"/>
        </w:rPr>
        <w:t xml:space="preserve"> </w:t>
      </w:r>
    </w:p>
    <w:tbl>
      <w:tblPr>
        <w:tblW w:w="13183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3"/>
        <w:gridCol w:w="3260"/>
      </w:tblGrid>
      <w:tr w:rsidR="00151A9A" w:rsidTr="006B6B6A">
        <w:tc>
          <w:tcPr>
            <w:tcW w:w="9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1A9A" w:rsidRDefault="00151A9A" w:rsidP="003A2E8B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 xml:space="preserve">Предложения национальных органов </w:t>
            </w:r>
          </w:p>
          <w:p w:rsidR="00151A9A" w:rsidRDefault="00151A9A" w:rsidP="003A2E8B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государств-участников СНГ, дата поступления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D5819" w:rsidRDefault="001D5819" w:rsidP="001D5819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 xml:space="preserve">Мнение </w:t>
            </w:r>
          </w:p>
          <w:p w:rsidR="00151A9A" w:rsidRDefault="007871AB" w:rsidP="00CA609F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1</w:t>
            </w:r>
            <w:r w:rsidR="00CA609F">
              <w:rPr>
                <w:rFonts w:ascii="Times New Roman CYR" w:hAnsi="Times New Roman CYR"/>
                <w:sz w:val="20"/>
              </w:rPr>
              <w:t>4</w:t>
            </w:r>
            <w:r w:rsidR="00151A9A">
              <w:rPr>
                <w:rFonts w:ascii="Times New Roman CYR" w:hAnsi="Times New Roman CYR"/>
                <w:sz w:val="20"/>
              </w:rPr>
              <w:t>-го заседания РГ РОА</w:t>
            </w:r>
          </w:p>
        </w:tc>
      </w:tr>
    </w:tbl>
    <w:p w:rsidR="00151A9A" w:rsidRDefault="00151A9A" w:rsidP="00151A9A">
      <w:pPr>
        <w:rPr>
          <w:sz w:val="2"/>
          <w:szCs w:val="2"/>
        </w:rPr>
      </w:pPr>
    </w:p>
    <w:tbl>
      <w:tblPr>
        <w:tblW w:w="13184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0"/>
        <w:gridCol w:w="20"/>
        <w:gridCol w:w="5103"/>
        <w:gridCol w:w="3261"/>
      </w:tblGrid>
      <w:tr w:rsidR="00151A9A" w:rsidTr="006B6B6A">
        <w:trPr>
          <w:trHeight w:val="233"/>
          <w:tblHeader/>
        </w:trPr>
        <w:tc>
          <w:tcPr>
            <w:tcW w:w="9923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:rsidR="00151A9A" w:rsidRDefault="00151A9A" w:rsidP="003A2E8B">
            <w:pPr>
              <w:pStyle w:val="2"/>
              <w:spacing w:after="0" w:line="260" w:lineRule="exact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:rsidR="00151A9A" w:rsidRDefault="00151A9A" w:rsidP="003A2E8B">
            <w:pPr>
              <w:spacing w:line="260" w:lineRule="exact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2</w:t>
            </w:r>
          </w:p>
        </w:tc>
      </w:tr>
      <w:tr w:rsidR="00151A9A" w:rsidRPr="007067AE" w:rsidTr="00611849">
        <w:trPr>
          <w:trHeight w:val="736"/>
        </w:trPr>
        <w:tc>
          <w:tcPr>
            <w:tcW w:w="1318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4C1" w:rsidRDefault="00151A9A" w:rsidP="00B044C1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Азербайджанская Республика</w:t>
            </w:r>
          </w:p>
          <w:p w:rsidR="00151A9A" w:rsidRPr="007067AE" w:rsidRDefault="00611849" w:rsidP="00B044C1">
            <w:pPr>
              <w:pStyle w:val="a3"/>
              <w:spacing w:line="235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151A9A" w:rsidRPr="007067AE">
              <w:rPr>
                <w:sz w:val="22"/>
                <w:szCs w:val="22"/>
              </w:rPr>
              <w:t>предложения не поступали</w:t>
            </w:r>
            <w:r w:rsidR="00151A9A">
              <w:rPr>
                <w:sz w:val="22"/>
                <w:szCs w:val="22"/>
              </w:rPr>
              <w:t xml:space="preserve"> (наблюдатели)</w:t>
            </w:r>
            <w:r>
              <w:rPr>
                <w:sz w:val="22"/>
                <w:szCs w:val="22"/>
              </w:rPr>
              <w:t>)</w:t>
            </w:r>
          </w:p>
        </w:tc>
      </w:tr>
      <w:tr w:rsidR="00151A9A" w:rsidRPr="007067AE" w:rsidTr="003A2E8B">
        <w:tc>
          <w:tcPr>
            <w:tcW w:w="1318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9A" w:rsidRPr="007067AE" w:rsidRDefault="00151A9A" w:rsidP="003A2E8B">
            <w:pPr>
              <w:pStyle w:val="a3"/>
              <w:spacing w:line="235" w:lineRule="exact"/>
              <w:jc w:val="center"/>
              <w:rPr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Армения</w:t>
            </w:r>
            <w:r w:rsidRPr="007067AE">
              <w:rPr>
                <w:b/>
                <w:sz w:val="22"/>
                <w:szCs w:val="22"/>
              </w:rPr>
              <w:br/>
            </w:r>
            <w:r w:rsidR="00611849">
              <w:rPr>
                <w:sz w:val="22"/>
                <w:szCs w:val="22"/>
              </w:rPr>
              <w:t>(</w:t>
            </w:r>
            <w:r w:rsidRPr="007067AE">
              <w:rPr>
                <w:sz w:val="22"/>
                <w:szCs w:val="22"/>
              </w:rPr>
              <w:t>предложения не поступали</w:t>
            </w:r>
            <w:r w:rsidR="00611849">
              <w:rPr>
                <w:sz w:val="22"/>
                <w:szCs w:val="22"/>
              </w:rPr>
              <w:t>)</w:t>
            </w:r>
          </w:p>
        </w:tc>
      </w:tr>
      <w:tr w:rsidR="00151A9A" w:rsidRPr="007067AE" w:rsidTr="003A2E8B">
        <w:trPr>
          <w:trHeight w:val="634"/>
        </w:trPr>
        <w:tc>
          <w:tcPr>
            <w:tcW w:w="1318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4C1" w:rsidRDefault="00151A9A" w:rsidP="00B044C1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Беларусь</w:t>
            </w:r>
          </w:p>
          <w:p w:rsidR="00151A9A" w:rsidRPr="007067AE" w:rsidRDefault="00151A9A" w:rsidP="00B174C1">
            <w:pPr>
              <w:jc w:val="center"/>
              <w:rPr>
                <w:sz w:val="22"/>
                <w:szCs w:val="22"/>
              </w:rPr>
            </w:pPr>
            <w:r w:rsidRPr="007067AE">
              <w:rPr>
                <w:sz w:val="22"/>
                <w:szCs w:val="22"/>
              </w:rPr>
              <w:t>(</w:t>
            </w:r>
            <w:r w:rsidR="00B174C1" w:rsidRPr="007067AE">
              <w:rPr>
                <w:sz w:val="22"/>
                <w:szCs w:val="22"/>
              </w:rPr>
              <w:t>предложения не поступали</w:t>
            </w:r>
            <w:r w:rsidRPr="007067AE">
              <w:rPr>
                <w:sz w:val="22"/>
                <w:szCs w:val="22"/>
              </w:rPr>
              <w:t>)</w:t>
            </w:r>
          </w:p>
        </w:tc>
      </w:tr>
      <w:tr w:rsidR="003F18F0" w:rsidRPr="007067AE" w:rsidTr="003A2E8B">
        <w:tc>
          <w:tcPr>
            <w:tcW w:w="1318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F0" w:rsidRPr="007067AE" w:rsidRDefault="003F18F0" w:rsidP="003A2E8B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Грузия</w:t>
            </w:r>
          </w:p>
          <w:p w:rsidR="003F18F0" w:rsidRPr="007067AE" w:rsidRDefault="003F18F0" w:rsidP="003A2E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7067AE">
              <w:rPr>
                <w:sz w:val="22"/>
                <w:szCs w:val="22"/>
              </w:rPr>
              <w:t>предложения не поступали</w:t>
            </w:r>
            <w:r>
              <w:rPr>
                <w:sz w:val="22"/>
                <w:szCs w:val="22"/>
              </w:rPr>
              <w:t>)</w:t>
            </w:r>
          </w:p>
        </w:tc>
      </w:tr>
      <w:tr w:rsidR="003F18F0" w:rsidRPr="007067AE" w:rsidTr="003A2E8B">
        <w:tc>
          <w:tcPr>
            <w:tcW w:w="1318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F87" w:rsidRDefault="003F18F0" w:rsidP="00A71F87">
            <w:pPr>
              <w:jc w:val="center"/>
              <w:rPr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Казахстан</w:t>
            </w:r>
            <w:r w:rsidRPr="007067AE">
              <w:rPr>
                <w:b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(</w:t>
            </w:r>
            <w:r w:rsidR="00A71F87">
              <w:rPr>
                <w:sz w:val="22"/>
                <w:szCs w:val="22"/>
              </w:rPr>
              <w:t>письмо зам.ген.директора НЦА К. Тайжанова</w:t>
            </w:r>
          </w:p>
          <w:p w:rsidR="0023766E" w:rsidRPr="007067AE" w:rsidRDefault="00A71F87" w:rsidP="00A71F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21-08/02-2268-НЦА/542 от 15.04.2020</w:t>
            </w:r>
            <w:r w:rsidR="003E100A">
              <w:rPr>
                <w:sz w:val="22"/>
                <w:szCs w:val="22"/>
              </w:rPr>
              <w:t>)</w:t>
            </w:r>
          </w:p>
        </w:tc>
      </w:tr>
      <w:tr w:rsidR="002E5F13" w:rsidRPr="007067AE" w:rsidTr="00602906">
        <w:tc>
          <w:tcPr>
            <w:tcW w:w="48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13" w:rsidRDefault="002E5F13">
            <w:pPr>
              <w:jc w:val="center"/>
              <w:rPr>
                <w:rFonts w:ascii="Times New Roman CYR" w:hAnsi="Times New Roman CYR"/>
                <w:b/>
                <w:spacing w:val="-2"/>
                <w:sz w:val="20"/>
              </w:rPr>
            </w:pPr>
            <w:r>
              <w:rPr>
                <w:rFonts w:ascii="Times New Roman CYR" w:hAnsi="Times New Roman CYR"/>
                <w:b/>
                <w:sz w:val="20"/>
              </w:rPr>
              <w:t>Действующая редакция</w:t>
            </w:r>
          </w:p>
        </w:tc>
        <w:tc>
          <w:tcPr>
            <w:tcW w:w="512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13" w:rsidRDefault="002E5F13">
            <w:pPr>
              <w:jc w:val="center"/>
              <w:rPr>
                <w:rFonts w:ascii="Times New Roman CYR" w:hAnsi="Times New Roman CYR"/>
                <w:b/>
                <w:sz w:val="20"/>
              </w:rPr>
            </w:pPr>
            <w:r>
              <w:rPr>
                <w:rFonts w:ascii="Times New Roman CYR" w:hAnsi="Times New Roman CYR"/>
                <w:b/>
                <w:sz w:val="20"/>
              </w:rPr>
              <w:t>Предложения национальных органов</w:t>
            </w:r>
          </w:p>
          <w:p w:rsidR="002E5F13" w:rsidRDefault="002E5F13">
            <w:pPr>
              <w:jc w:val="center"/>
              <w:rPr>
                <w:rFonts w:ascii="Times New Roman CYR" w:hAnsi="Times New Roman CYR"/>
                <w:b/>
                <w:sz w:val="20"/>
              </w:rPr>
            </w:pPr>
            <w:r>
              <w:rPr>
                <w:rFonts w:ascii="Times New Roman CYR" w:hAnsi="Times New Roman CYR"/>
                <w:b/>
                <w:sz w:val="20"/>
              </w:rPr>
              <w:t>государств-участников СНГ</w:t>
            </w:r>
          </w:p>
        </w:tc>
        <w:tc>
          <w:tcPr>
            <w:tcW w:w="32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13" w:rsidRDefault="002E5F13">
            <w:pPr>
              <w:jc w:val="center"/>
              <w:rPr>
                <w:rFonts w:ascii="Times New Roman CYR" w:hAnsi="Times New Roman CYR"/>
                <w:b/>
                <w:sz w:val="20"/>
              </w:rPr>
            </w:pPr>
            <w:r>
              <w:rPr>
                <w:rFonts w:ascii="Times New Roman CYR" w:hAnsi="Times New Roman CYR"/>
                <w:b/>
                <w:sz w:val="20"/>
              </w:rPr>
              <w:t>Позиция разработчика</w:t>
            </w:r>
          </w:p>
        </w:tc>
      </w:tr>
      <w:tr w:rsidR="002E5F13" w:rsidRPr="007067AE" w:rsidTr="002E5F13">
        <w:tc>
          <w:tcPr>
            <w:tcW w:w="48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13" w:rsidRPr="00A71F87" w:rsidRDefault="002E5F13" w:rsidP="00A71F87">
            <w:pPr>
              <w:overflowPunct/>
              <w:autoSpaceDE/>
              <w:autoSpaceDN/>
              <w:adjustRightInd/>
              <w:ind w:firstLine="567"/>
              <w:jc w:val="both"/>
              <w:rPr>
                <w:sz w:val="24"/>
                <w:szCs w:val="24"/>
                <w:lang w:eastAsia="en-US"/>
              </w:rPr>
            </w:pPr>
          </w:p>
          <w:p w:rsidR="002E5F13" w:rsidRPr="003E100A" w:rsidRDefault="002E5F13" w:rsidP="00A71F87">
            <w:pPr>
              <w:overflowPunct/>
              <w:autoSpaceDE/>
              <w:autoSpaceDN/>
              <w:adjustRightInd/>
              <w:ind w:firstLine="567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12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13" w:rsidRPr="003E100A" w:rsidRDefault="002E5F13" w:rsidP="00A71F87">
            <w:pPr>
              <w:overflowPunct/>
              <w:autoSpaceDE/>
              <w:autoSpaceDN/>
              <w:adjustRightInd/>
              <w:ind w:firstLine="567"/>
              <w:jc w:val="both"/>
              <w:rPr>
                <w:b/>
                <w:sz w:val="22"/>
                <w:szCs w:val="22"/>
              </w:rPr>
            </w:pPr>
            <w:r w:rsidRPr="00A71F87">
              <w:rPr>
                <w:sz w:val="24"/>
                <w:szCs w:val="24"/>
                <w:lang w:eastAsia="en-US"/>
              </w:rPr>
              <w:t>Считаем нецелесообразным ссылку на документ региональной организации ЕА, так как имеется ссылка на документы международных организаций;</w:t>
            </w:r>
          </w:p>
        </w:tc>
        <w:tc>
          <w:tcPr>
            <w:tcW w:w="32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13" w:rsidRPr="007067AE" w:rsidRDefault="002E5F13" w:rsidP="00FE2814">
            <w:pPr>
              <w:jc w:val="center"/>
              <w:rPr>
                <w:b/>
                <w:sz w:val="22"/>
                <w:szCs w:val="22"/>
              </w:rPr>
            </w:pPr>
            <w:r w:rsidRPr="00692BA7">
              <w:rPr>
                <w:rFonts w:eastAsia="Calibri"/>
                <w:i/>
                <w:iCs/>
                <w:sz w:val="20"/>
                <w:lang w:eastAsia="en-US"/>
              </w:rPr>
              <w:t>Предлагаем принять.</w:t>
            </w:r>
          </w:p>
        </w:tc>
      </w:tr>
      <w:tr w:rsidR="002E5F13" w:rsidRPr="007067AE" w:rsidTr="002E5F13">
        <w:tc>
          <w:tcPr>
            <w:tcW w:w="48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85" w:rsidRPr="00552D85" w:rsidRDefault="00552D85" w:rsidP="00552D85">
            <w:pPr>
              <w:overflowPunct/>
              <w:autoSpaceDE/>
              <w:autoSpaceDN/>
              <w:adjustRightInd/>
              <w:ind w:firstLine="709"/>
              <w:jc w:val="both"/>
              <w:rPr>
                <w:sz w:val="24"/>
                <w:szCs w:val="24"/>
                <w:lang w:eastAsia="x-none"/>
              </w:rPr>
            </w:pPr>
            <w:r w:rsidRPr="00552D85">
              <w:rPr>
                <w:sz w:val="24"/>
                <w:szCs w:val="24"/>
                <w:lang w:eastAsia="x-none"/>
              </w:rPr>
              <w:t xml:space="preserve">П. 3.1 Политика EAAC в отношении трансграничной аккредитации направлена на урегулирование взаимодействия между органами по аккредитации- членами EAAC при осуществлении органом по аккредитации- членом EAAC аккредитации органа по оценке соответствия, расположенного в другом государстве- </w:t>
            </w:r>
            <w:r w:rsidRPr="00552D85">
              <w:rPr>
                <w:sz w:val="24"/>
                <w:szCs w:val="24"/>
                <w:lang w:eastAsia="x-none"/>
              </w:rPr>
              <w:lastRenderedPageBreak/>
              <w:t>члене СНГ.</w:t>
            </w:r>
          </w:p>
          <w:p w:rsidR="002E5F13" w:rsidRPr="00A71F87" w:rsidRDefault="002E5F13" w:rsidP="00A71F87">
            <w:pPr>
              <w:overflowPunct/>
              <w:autoSpaceDE/>
              <w:autoSpaceDN/>
              <w:adjustRightInd/>
              <w:ind w:firstLine="567"/>
              <w:jc w:val="both"/>
              <w:rPr>
                <w:szCs w:val="28"/>
                <w:lang w:eastAsia="en-US"/>
              </w:rPr>
            </w:pPr>
          </w:p>
        </w:tc>
        <w:tc>
          <w:tcPr>
            <w:tcW w:w="512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13" w:rsidRPr="00A71F87" w:rsidRDefault="00552D85" w:rsidP="002E5F13">
            <w:pPr>
              <w:overflowPunct/>
              <w:autoSpaceDE/>
              <w:autoSpaceDN/>
              <w:adjustRightInd/>
              <w:ind w:firstLine="567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2. </w:t>
            </w:r>
            <w:r w:rsidR="002E5F13" w:rsidRPr="00A71F87">
              <w:rPr>
                <w:sz w:val="24"/>
                <w:szCs w:val="24"/>
                <w:lang w:eastAsia="en-US"/>
              </w:rPr>
              <w:t>п.3.1. после слова «расположенного» изложить в следующей редакции «на территории другого государства-члена СНГ»;</w:t>
            </w:r>
          </w:p>
          <w:p w:rsidR="002E5F13" w:rsidRPr="00A71F87" w:rsidRDefault="002E5F13" w:rsidP="00A71F87">
            <w:pPr>
              <w:overflowPunct/>
              <w:autoSpaceDE/>
              <w:autoSpaceDN/>
              <w:adjustRightInd/>
              <w:ind w:firstLine="567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13" w:rsidRPr="007067AE" w:rsidRDefault="00BE4DF5" w:rsidP="00FE2814">
            <w:pPr>
              <w:jc w:val="center"/>
              <w:rPr>
                <w:b/>
                <w:sz w:val="22"/>
                <w:szCs w:val="22"/>
              </w:rPr>
            </w:pPr>
            <w:r w:rsidRPr="00692BA7">
              <w:rPr>
                <w:rFonts w:eastAsia="Calibri"/>
                <w:i/>
                <w:iCs/>
                <w:sz w:val="20"/>
                <w:lang w:eastAsia="en-US"/>
              </w:rPr>
              <w:t>Предлагаем принять.</w:t>
            </w:r>
          </w:p>
        </w:tc>
      </w:tr>
      <w:tr w:rsidR="002E5F13" w:rsidRPr="007067AE" w:rsidTr="002E5F13">
        <w:tc>
          <w:tcPr>
            <w:tcW w:w="48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85" w:rsidRPr="00552D85" w:rsidRDefault="00552D85" w:rsidP="00552D85">
            <w:pPr>
              <w:overflowPunct/>
              <w:autoSpaceDE/>
              <w:autoSpaceDN/>
              <w:adjustRightInd/>
              <w:ind w:firstLine="709"/>
              <w:jc w:val="both"/>
              <w:rPr>
                <w:sz w:val="24"/>
                <w:szCs w:val="24"/>
                <w:lang w:eastAsia="x-none"/>
              </w:rPr>
            </w:pPr>
            <w:r w:rsidRPr="00552D85">
              <w:rPr>
                <w:sz w:val="24"/>
                <w:szCs w:val="24"/>
                <w:lang w:eastAsia="x-none"/>
              </w:rPr>
              <w:t>П. 3.1</w:t>
            </w:r>
            <w:r>
              <w:rPr>
                <w:sz w:val="24"/>
                <w:szCs w:val="24"/>
                <w:lang w:eastAsia="x-none"/>
              </w:rPr>
              <w:t xml:space="preserve"> </w:t>
            </w:r>
            <w:r w:rsidRPr="00552D85">
              <w:rPr>
                <w:sz w:val="24"/>
                <w:szCs w:val="24"/>
                <w:lang w:eastAsia="x-none"/>
              </w:rPr>
              <w:t>Взаимодействие органов по аккредитации- членов EAAC способствует удовлетворению спроса на географически неограниченную аккредитацию, исключает дублирование аккредитации в странах СНГ и содействует развитию международной торговли путем устранения технических барьеров.</w:t>
            </w:r>
          </w:p>
          <w:p w:rsidR="002E5F13" w:rsidRPr="00A71F87" w:rsidRDefault="002E5F13" w:rsidP="00A71F87">
            <w:pPr>
              <w:overflowPunct/>
              <w:autoSpaceDE/>
              <w:autoSpaceDN/>
              <w:adjustRightInd/>
              <w:ind w:firstLine="567"/>
              <w:jc w:val="both"/>
              <w:rPr>
                <w:szCs w:val="28"/>
                <w:lang w:eastAsia="en-US"/>
              </w:rPr>
            </w:pPr>
          </w:p>
        </w:tc>
        <w:tc>
          <w:tcPr>
            <w:tcW w:w="512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13" w:rsidRPr="00A71F87" w:rsidRDefault="002E5F13" w:rsidP="002E5F13">
            <w:pPr>
              <w:overflowPunct/>
              <w:autoSpaceDE/>
              <w:autoSpaceDN/>
              <w:adjustRightInd/>
              <w:ind w:firstLine="567"/>
              <w:jc w:val="both"/>
              <w:rPr>
                <w:sz w:val="24"/>
                <w:szCs w:val="24"/>
                <w:lang w:eastAsia="en-US"/>
              </w:rPr>
            </w:pPr>
            <w:r w:rsidRPr="00A71F87">
              <w:rPr>
                <w:sz w:val="24"/>
                <w:szCs w:val="24"/>
                <w:lang w:eastAsia="en-US"/>
              </w:rPr>
              <w:t>3. Абзац 2 п.3.1. исключить слова «удовлетворению спроса на географически неограниченную аккредитацию»;</w:t>
            </w:r>
          </w:p>
          <w:p w:rsidR="002E5F13" w:rsidRPr="00A71F87" w:rsidRDefault="002E5F13" w:rsidP="00A71F87">
            <w:pPr>
              <w:overflowPunct/>
              <w:autoSpaceDE/>
              <w:autoSpaceDN/>
              <w:adjustRightInd/>
              <w:ind w:firstLine="567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13" w:rsidRPr="007067AE" w:rsidRDefault="00312B2E" w:rsidP="00FE2814">
            <w:pPr>
              <w:jc w:val="center"/>
              <w:rPr>
                <w:b/>
                <w:sz w:val="22"/>
                <w:szCs w:val="22"/>
              </w:rPr>
            </w:pPr>
            <w:r w:rsidRPr="00692BA7">
              <w:rPr>
                <w:rFonts w:eastAsia="Calibri"/>
                <w:i/>
                <w:iCs/>
                <w:sz w:val="20"/>
                <w:lang w:eastAsia="en-US"/>
              </w:rPr>
              <w:t>Предлагаем принять.</w:t>
            </w:r>
          </w:p>
        </w:tc>
      </w:tr>
      <w:tr w:rsidR="002E5F13" w:rsidRPr="007067AE" w:rsidTr="002E5F13">
        <w:tc>
          <w:tcPr>
            <w:tcW w:w="48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85" w:rsidRPr="00552D85" w:rsidRDefault="00552D85" w:rsidP="00552D85">
            <w:pPr>
              <w:widowControl w:val="0"/>
              <w:overflowPunct/>
              <w:autoSpaceDE/>
              <w:autoSpaceDN/>
              <w:adjustRightInd/>
              <w:ind w:firstLine="709"/>
              <w:jc w:val="both"/>
              <w:rPr>
                <w:sz w:val="24"/>
                <w:szCs w:val="24"/>
                <w:lang w:eastAsia="x-none"/>
              </w:rPr>
            </w:pPr>
            <w:r w:rsidRPr="00552D85">
              <w:rPr>
                <w:sz w:val="24"/>
                <w:szCs w:val="24"/>
                <w:lang w:eastAsia="x-none"/>
              </w:rPr>
              <w:t>3.2.1 Органы по аккредитации могут принять заявку на аккредитацию от органа по оценке соответствия (далее- ООС), расположенного в другом государстве- члене СНГ, в случаях:</w:t>
            </w:r>
          </w:p>
          <w:p w:rsidR="002E5F13" w:rsidRPr="00A71F87" w:rsidRDefault="002E5F13" w:rsidP="00A71F87">
            <w:pPr>
              <w:overflowPunct/>
              <w:autoSpaceDE/>
              <w:autoSpaceDN/>
              <w:adjustRightInd/>
              <w:ind w:firstLine="567"/>
              <w:jc w:val="both"/>
              <w:rPr>
                <w:szCs w:val="28"/>
                <w:lang w:eastAsia="en-US"/>
              </w:rPr>
            </w:pPr>
          </w:p>
        </w:tc>
        <w:tc>
          <w:tcPr>
            <w:tcW w:w="512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20" w:rsidRPr="00A71F87" w:rsidRDefault="002455C2" w:rsidP="00E81720">
            <w:pPr>
              <w:overflowPunct/>
              <w:autoSpaceDE/>
              <w:autoSpaceDN/>
              <w:adjustRightInd/>
              <w:ind w:firstLine="567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4. </w:t>
            </w:r>
            <w:r w:rsidR="00E81720" w:rsidRPr="00A71F87">
              <w:rPr>
                <w:sz w:val="24"/>
                <w:szCs w:val="24"/>
                <w:lang w:eastAsia="en-US"/>
              </w:rPr>
              <w:t>п.3.2.1. после слова «случаях» добавить слово «когда»;</w:t>
            </w:r>
          </w:p>
          <w:p w:rsidR="002E5F13" w:rsidRPr="00A71F87" w:rsidRDefault="002E5F13" w:rsidP="00A71F87">
            <w:pPr>
              <w:overflowPunct/>
              <w:autoSpaceDE/>
              <w:autoSpaceDN/>
              <w:adjustRightInd/>
              <w:ind w:firstLine="567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DF5" w:rsidRPr="007D61F6" w:rsidRDefault="00BE4DF5" w:rsidP="00FE2814">
            <w:pPr>
              <w:jc w:val="center"/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sz w:val="20"/>
              </w:rPr>
              <w:t>Принято разработчиком</w:t>
            </w:r>
          </w:p>
          <w:p w:rsidR="002E5F13" w:rsidRPr="007067AE" w:rsidRDefault="002E5F13" w:rsidP="00FE281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81720" w:rsidRPr="007067AE" w:rsidTr="002E5F13">
        <w:tc>
          <w:tcPr>
            <w:tcW w:w="48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20" w:rsidRPr="00A71F87" w:rsidRDefault="00E81720" w:rsidP="00A71F87">
            <w:pPr>
              <w:overflowPunct/>
              <w:autoSpaceDE/>
              <w:autoSpaceDN/>
              <w:adjustRightInd/>
              <w:ind w:firstLine="567"/>
              <w:jc w:val="both"/>
              <w:rPr>
                <w:szCs w:val="28"/>
                <w:lang w:eastAsia="en-US"/>
              </w:rPr>
            </w:pPr>
          </w:p>
        </w:tc>
        <w:tc>
          <w:tcPr>
            <w:tcW w:w="512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20" w:rsidRPr="00A71F87" w:rsidRDefault="00E81720" w:rsidP="00E81720">
            <w:pPr>
              <w:overflowPunct/>
              <w:autoSpaceDE/>
              <w:autoSpaceDN/>
              <w:adjustRightInd/>
              <w:ind w:firstLine="567"/>
              <w:jc w:val="both"/>
              <w:rPr>
                <w:sz w:val="24"/>
                <w:szCs w:val="24"/>
                <w:lang w:eastAsia="en-US"/>
              </w:rPr>
            </w:pPr>
            <w:r w:rsidRPr="00A71F87">
              <w:rPr>
                <w:sz w:val="24"/>
                <w:szCs w:val="24"/>
                <w:lang w:eastAsia="en-US"/>
              </w:rPr>
              <w:t>7. По всему тексту добавить слова «</w:t>
            </w:r>
            <w:r w:rsidRPr="00A71F87">
              <w:rPr>
                <w:sz w:val="24"/>
                <w:szCs w:val="24"/>
                <w:lang w:val="en-US" w:eastAsia="en-US"/>
              </w:rPr>
              <w:t>MRA</w:t>
            </w:r>
            <w:r w:rsidRPr="00A71F87">
              <w:rPr>
                <w:sz w:val="24"/>
                <w:szCs w:val="24"/>
                <w:lang w:eastAsia="en-US"/>
              </w:rPr>
              <w:t xml:space="preserve">» к словам «Соглашение </w:t>
            </w:r>
            <w:r w:rsidRPr="00A71F87">
              <w:rPr>
                <w:sz w:val="24"/>
                <w:szCs w:val="24"/>
                <w:lang w:val="en-US" w:eastAsia="en-US"/>
              </w:rPr>
              <w:t>ILAC</w:t>
            </w:r>
            <w:r w:rsidRPr="00A71F87">
              <w:rPr>
                <w:sz w:val="24"/>
                <w:szCs w:val="24"/>
                <w:lang w:eastAsia="en-US"/>
              </w:rPr>
              <w:t>» и «</w:t>
            </w:r>
            <w:r w:rsidRPr="00A71F87">
              <w:rPr>
                <w:sz w:val="24"/>
                <w:szCs w:val="24"/>
                <w:lang w:val="en-US" w:eastAsia="en-US"/>
              </w:rPr>
              <w:t>MLA</w:t>
            </w:r>
            <w:r w:rsidRPr="00A71F87">
              <w:rPr>
                <w:sz w:val="24"/>
                <w:szCs w:val="24"/>
                <w:lang w:eastAsia="en-US"/>
              </w:rPr>
              <w:t xml:space="preserve">» к словам «Соглашение </w:t>
            </w:r>
            <w:r w:rsidRPr="00A71F87">
              <w:rPr>
                <w:sz w:val="24"/>
                <w:szCs w:val="24"/>
                <w:lang w:val="en-US" w:eastAsia="en-US"/>
              </w:rPr>
              <w:t>IAF</w:t>
            </w:r>
            <w:r w:rsidRPr="00A71F87">
              <w:rPr>
                <w:sz w:val="24"/>
                <w:szCs w:val="24"/>
                <w:lang w:eastAsia="en-US"/>
              </w:rPr>
              <w:t>»;</w:t>
            </w:r>
          </w:p>
          <w:p w:rsidR="00E81720" w:rsidRPr="00A71F87" w:rsidRDefault="00E81720" w:rsidP="00E81720">
            <w:pPr>
              <w:overflowPunct/>
              <w:autoSpaceDE/>
              <w:autoSpaceDN/>
              <w:adjustRightInd/>
              <w:ind w:firstLine="567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DF5" w:rsidRPr="007D61F6" w:rsidRDefault="00BE4DF5" w:rsidP="00FE2814">
            <w:pPr>
              <w:jc w:val="center"/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sz w:val="20"/>
              </w:rPr>
              <w:t>Принято разработчиком</w:t>
            </w:r>
          </w:p>
          <w:p w:rsidR="00E81720" w:rsidRPr="007067AE" w:rsidRDefault="00E81720" w:rsidP="00FE281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81720" w:rsidRPr="007067AE" w:rsidTr="002E5F13">
        <w:tc>
          <w:tcPr>
            <w:tcW w:w="48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20" w:rsidRPr="00A71F87" w:rsidRDefault="00552D85" w:rsidP="00A71F87">
            <w:pPr>
              <w:overflowPunct/>
              <w:autoSpaceDE/>
              <w:autoSpaceDN/>
              <w:adjustRightInd/>
              <w:ind w:firstLine="567"/>
              <w:jc w:val="both"/>
              <w:rPr>
                <w:szCs w:val="28"/>
                <w:lang w:eastAsia="en-US"/>
              </w:rPr>
            </w:pPr>
            <w:r w:rsidRPr="00EB5937">
              <w:rPr>
                <w:sz w:val="24"/>
                <w:szCs w:val="23"/>
              </w:rPr>
              <w:t xml:space="preserve">3.2.2 Когда в стране имеются несколько местных ОА, являющихся участниками соглашения </w:t>
            </w:r>
            <w:r w:rsidRPr="00EB5937">
              <w:rPr>
                <w:sz w:val="24"/>
                <w:szCs w:val="23"/>
                <w:lang w:val="en-US"/>
              </w:rPr>
              <w:t>ILAC</w:t>
            </w:r>
            <w:r w:rsidRPr="00EB5937">
              <w:rPr>
                <w:sz w:val="24"/>
                <w:szCs w:val="23"/>
              </w:rPr>
              <w:t xml:space="preserve"> в требуемой области аккредитации и заявитель по-прежнему решает подать заявку на аккредитацию в иностранный ОА, иностранный ОА должен, в соответствии с требованиями, осуществлять программу по содействию ILAC с основными заинтересованными сторонами (как указано в IAF / ILAC A2)</w:t>
            </w:r>
          </w:p>
        </w:tc>
        <w:tc>
          <w:tcPr>
            <w:tcW w:w="512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20" w:rsidRPr="00A71F87" w:rsidRDefault="002455C2" w:rsidP="00E81720">
            <w:pPr>
              <w:overflowPunct/>
              <w:autoSpaceDE/>
              <w:autoSpaceDN/>
              <w:adjustRightInd/>
              <w:ind w:firstLine="567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5. </w:t>
            </w:r>
            <w:r w:rsidR="00E81720" w:rsidRPr="00A71F87">
              <w:rPr>
                <w:sz w:val="24"/>
                <w:szCs w:val="24"/>
                <w:lang w:eastAsia="en-US"/>
              </w:rPr>
              <w:t xml:space="preserve">п.3.2.2. исключить следующие слова «Когда в стране имеются несколько местных ОА, являющиеся участниками соглашения </w:t>
            </w:r>
            <w:r w:rsidR="00E81720" w:rsidRPr="00A71F87">
              <w:rPr>
                <w:sz w:val="24"/>
                <w:szCs w:val="24"/>
                <w:lang w:val="en-US" w:eastAsia="en-US"/>
              </w:rPr>
              <w:t>ILAC</w:t>
            </w:r>
            <w:r w:rsidR="00E81720" w:rsidRPr="00A71F87">
              <w:rPr>
                <w:sz w:val="24"/>
                <w:szCs w:val="24"/>
                <w:lang w:eastAsia="en-US"/>
              </w:rPr>
              <w:t xml:space="preserve"> в требуемой области аккредитации и заявитель по –прежнему решает подать заявку на аккредитацию в иностранный ОА», так как такая ситуация не наблюдается ни в одном из государстве-члене СНГ;</w:t>
            </w:r>
          </w:p>
          <w:p w:rsidR="00E81720" w:rsidRPr="00A71F87" w:rsidRDefault="00E81720" w:rsidP="00E81720">
            <w:pPr>
              <w:overflowPunct/>
              <w:autoSpaceDE/>
              <w:autoSpaceDN/>
              <w:adjustRightInd/>
              <w:ind w:firstLine="567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20" w:rsidRPr="007D61F6" w:rsidRDefault="00E81720" w:rsidP="00FE2814">
            <w:pPr>
              <w:jc w:val="center"/>
              <w:rPr>
                <w:bCs/>
                <w:i/>
                <w:iCs/>
                <w:sz w:val="20"/>
              </w:rPr>
            </w:pPr>
            <w:r w:rsidRPr="00692BA7">
              <w:rPr>
                <w:bCs/>
                <w:i/>
                <w:iCs/>
                <w:sz w:val="20"/>
              </w:rPr>
              <w:t>Предлагаем обсудить в рамках очередного заседания РГ РОА.</w:t>
            </w:r>
          </w:p>
          <w:p w:rsidR="00E81720" w:rsidRPr="007067AE" w:rsidRDefault="00E81720" w:rsidP="00FE281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81720" w:rsidRPr="007067AE" w:rsidTr="002E5F13">
        <w:tc>
          <w:tcPr>
            <w:tcW w:w="48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20" w:rsidRPr="00A71F87" w:rsidRDefault="00E81720" w:rsidP="00A71F87">
            <w:pPr>
              <w:overflowPunct/>
              <w:autoSpaceDE/>
              <w:autoSpaceDN/>
              <w:adjustRightInd/>
              <w:ind w:firstLine="567"/>
              <w:jc w:val="both"/>
              <w:rPr>
                <w:szCs w:val="28"/>
                <w:lang w:eastAsia="en-US"/>
              </w:rPr>
            </w:pPr>
          </w:p>
        </w:tc>
        <w:tc>
          <w:tcPr>
            <w:tcW w:w="512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20" w:rsidRPr="00A71F87" w:rsidRDefault="00E81720" w:rsidP="00E81720">
            <w:pPr>
              <w:overflowPunct/>
              <w:autoSpaceDE/>
              <w:autoSpaceDN/>
              <w:adjustRightInd/>
              <w:ind w:firstLine="567"/>
              <w:jc w:val="both"/>
              <w:rPr>
                <w:sz w:val="24"/>
                <w:szCs w:val="24"/>
                <w:lang w:eastAsia="en-US"/>
              </w:rPr>
            </w:pPr>
            <w:r w:rsidRPr="00A71F87">
              <w:rPr>
                <w:sz w:val="24"/>
                <w:szCs w:val="24"/>
                <w:lang w:eastAsia="en-US"/>
              </w:rPr>
              <w:t xml:space="preserve">6. По всему тексту заменить слова </w:t>
            </w:r>
            <w:r w:rsidRPr="00A71F87">
              <w:rPr>
                <w:sz w:val="24"/>
                <w:szCs w:val="24"/>
                <w:lang w:eastAsia="en-US"/>
              </w:rPr>
              <w:lastRenderedPageBreak/>
              <w:t>«иностранный</w:t>
            </w:r>
            <w:r w:rsidRPr="00E25861">
              <w:rPr>
                <w:sz w:val="24"/>
                <w:szCs w:val="24"/>
                <w:lang w:eastAsia="en-US"/>
              </w:rPr>
              <w:t>» на «зарубежный»;</w:t>
            </w:r>
          </w:p>
          <w:p w:rsidR="00E81720" w:rsidRPr="00A71F87" w:rsidRDefault="00E81720" w:rsidP="00E81720">
            <w:pPr>
              <w:overflowPunct/>
              <w:autoSpaceDE/>
              <w:autoSpaceDN/>
              <w:adjustRightInd/>
              <w:ind w:firstLine="567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DF5" w:rsidRPr="007D61F6" w:rsidRDefault="00BE4DF5" w:rsidP="00FE2814">
            <w:pPr>
              <w:jc w:val="center"/>
              <w:rPr>
                <w:bCs/>
                <w:i/>
                <w:iCs/>
                <w:sz w:val="20"/>
              </w:rPr>
            </w:pPr>
            <w:r w:rsidRPr="00692BA7">
              <w:rPr>
                <w:bCs/>
                <w:i/>
                <w:iCs/>
                <w:sz w:val="20"/>
              </w:rPr>
              <w:lastRenderedPageBreak/>
              <w:t xml:space="preserve">Предлагаем обсудить в рамках </w:t>
            </w:r>
            <w:r w:rsidRPr="00692BA7">
              <w:rPr>
                <w:bCs/>
                <w:i/>
                <w:iCs/>
                <w:sz w:val="20"/>
              </w:rPr>
              <w:lastRenderedPageBreak/>
              <w:t>очередного заседания РГ РОА.</w:t>
            </w:r>
          </w:p>
          <w:p w:rsidR="00E81720" w:rsidRPr="007067AE" w:rsidRDefault="00E81720" w:rsidP="00FE281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81720" w:rsidRPr="007067AE" w:rsidTr="002E5F13">
        <w:tc>
          <w:tcPr>
            <w:tcW w:w="48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20" w:rsidRPr="00A71F87" w:rsidRDefault="00E81720" w:rsidP="00A71F87">
            <w:pPr>
              <w:overflowPunct/>
              <w:autoSpaceDE/>
              <w:autoSpaceDN/>
              <w:adjustRightInd/>
              <w:ind w:firstLine="567"/>
              <w:jc w:val="both"/>
              <w:rPr>
                <w:szCs w:val="28"/>
                <w:lang w:eastAsia="en-US"/>
              </w:rPr>
            </w:pPr>
          </w:p>
        </w:tc>
        <w:tc>
          <w:tcPr>
            <w:tcW w:w="512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20" w:rsidRPr="00A71F87" w:rsidRDefault="002455C2" w:rsidP="00E81720">
            <w:pPr>
              <w:overflowPunct/>
              <w:autoSpaceDE/>
              <w:autoSpaceDN/>
              <w:adjustRightInd/>
              <w:ind w:firstLine="567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8.</w:t>
            </w:r>
            <w:r w:rsidR="00E81720" w:rsidRPr="00A71F87">
              <w:rPr>
                <w:sz w:val="24"/>
                <w:szCs w:val="24"/>
                <w:lang w:eastAsia="en-US"/>
              </w:rPr>
              <w:t xml:space="preserve"> п.3.3 абзац 4 изложить в следующей редакции «В случае невозможности включения специалистов местного ОА в состав группы по оценки зарубежного ОА, представители местного ОА могут быть приглашены к участию в оценке в качестве наблюдателей только с согласия заявителя»;</w:t>
            </w:r>
          </w:p>
          <w:p w:rsidR="00E81720" w:rsidRPr="00A71F87" w:rsidRDefault="00E81720" w:rsidP="00E81720">
            <w:pPr>
              <w:overflowPunct/>
              <w:autoSpaceDE/>
              <w:autoSpaceDN/>
              <w:adjustRightInd/>
              <w:ind w:firstLine="567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DF5" w:rsidRPr="007D61F6" w:rsidRDefault="00BE4DF5" w:rsidP="00FE2814">
            <w:pPr>
              <w:jc w:val="center"/>
              <w:rPr>
                <w:bCs/>
                <w:i/>
                <w:iCs/>
                <w:sz w:val="20"/>
              </w:rPr>
            </w:pPr>
            <w:r w:rsidRPr="00692BA7">
              <w:rPr>
                <w:bCs/>
                <w:i/>
                <w:iCs/>
                <w:sz w:val="20"/>
              </w:rPr>
              <w:t xml:space="preserve">Предлагаем </w:t>
            </w:r>
            <w:r>
              <w:rPr>
                <w:bCs/>
                <w:i/>
                <w:iCs/>
                <w:sz w:val="20"/>
              </w:rPr>
              <w:t>принять</w:t>
            </w:r>
          </w:p>
          <w:p w:rsidR="00E81720" w:rsidRPr="007067AE" w:rsidRDefault="00E81720" w:rsidP="00FE281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81720" w:rsidRPr="007067AE" w:rsidTr="002E5F13">
        <w:tc>
          <w:tcPr>
            <w:tcW w:w="48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B5" w:rsidRPr="005046B5" w:rsidRDefault="005046B5" w:rsidP="005046B5">
            <w:pPr>
              <w:widowControl w:val="0"/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  <w:lang w:eastAsia="x-none"/>
              </w:rPr>
            </w:pPr>
            <w:r>
              <w:rPr>
                <w:color w:val="000000"/>
                <w:sz w:val="24"/>
                <w:szCs w:val="24"/>
                <w:lang w:eastAsia="x-none"/>
              </w:rPr>
              <w:t>П. 3.3</w:t>
            </w:r>
            <w:r w:rsidR="00A22720">
              <w:rPr>
                <w:color w:val="000000"/>
                <w:sz w:val="24"/>
                <w:szCs w:val="24"/>
                <w:lang w:eastAsia="x-none"/>
              </w:rPr>
              <w:t xml:space="preserve"> абзац 4</w:t>
            </w:r>
            <w:r>
              <w:rPr>
                <w:color w:val="000000"/>
                <w:sz w:val="24"/>
                <w:szCs w:val="24"/>
                <w:lang w:eastAsia="x-none"/>
              </w:rPr>
              <w:t xml:space="preserve"> </w:t>
            </w:r>
            <w:r w:rsidRPr="005046B5">
              <w:rPr>
                <w:color w:val="000000"/>
                <w:sz w:val="24"/>
                <w:szCs w:val="24"/>
                <w:lang w:eastAsia="x-none"/>
              </w:rPr>
              <w:t>Если нет возможности включить персонал местного ОА в комиссию по оценке, взаимодействие с местным ОА должно быть расширено и представители местного ОА должны, с согласия заявителя, быть приглашены к участию в оценке в качестве наблюдателей;</w:t>
            </w:r>
          </w:p>
          <w:p w:rsidR="00E81720" w:rsidRPr="00A71F87" w:rsidRDefault="00E81720" w:rsidP="00A71F87">
            <w:pPr>
              <w:overflowPunct/>
              <w:autoSpaceDE/>
              <w:autoSpaceDN/>
              <w:adjustRightInd/>
              <w:ind w:firstLine="567"/>
              <w:jc w:val="both"/>
              <w:rPr>
                <w:szCs w:val="28"/>
                <w:lang w:eastAsia="en-US"/>
              </w:rPr>
            </w:pPr>
          </w:p>
        </w:tc>
        <w:tc>
          <w:tcPr>
            <w:tcW w:w="512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20" w:rsidRPr="00A71F87" w:rsidRDefault="002455C2" w:rsidP="00E81720">
            <w:pPr>
              <w:overflowPunct/>
              <w:autoSpaceDE/>
              <w:autoSpaceDN/>
              <w:adjustRightInd/>
              <w:ind w:firstLine="567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9. </w:t>
            </w:r>
            <w:r w:rsidR="00E81720" w:rsidRPr="00A71F87">
              <w:rPr>
                <w:sz w:val="24"/>
                <w:szCs w:val="24"/>
                <w:lang w:eastAsia="en-US"/>
              </w:rPr>
              <w:t xml:space="preserve">п.3.3 абзац 4 изложить в соответствии с документом </w:t>
            </w:r>
            <w:r w:rsidR="00E81720" w:rsidRPr="00A71F87">
              <w:rPr>
                <w:sz w:val="24"/>
                <w:szCs w:val="24"/>
                <w:lang w:val="en-US" w:eastAsia="en-US"/>
              </w:rPr>
              <w:t>ILAC</w:t>
            </w:r>
            <w:r w:rsidR="00E81720" w:rsidRPr="00A71F87">
              <w:rPr>
                <w:sz w:val="24"/>
                <w:szCs w:val="24"/>
                <w:lang w:eastAsia="en-US"/>
              </w:rPr>
              <w:t xml:space="preserve"> </w:t>
            </w:r>
            <w:r w:rsidR="00E81720" w:rsidRPr="00A71F87">
              <w:rPr>
                <w:sz w:val="24"/>
                <w:szCs w:val="24"/>
                <w:lang w:val="en-US" w:eastAsia="en-US"/>
              </w:rPr>
              <w:t>G</w:t>
            </w:r>
            <w:r w:rsidR="00E81720" w:rsidRPr="00A71F87">
              <w:rPr>
                <w:sz w:val="24"/>
                <w:szCs w:val="24"/>
                <w:lang w:eastAsia="en-US"/>
              </w:rPr>
              <w:t xml:space="preserve"> 21, т.е. "местный орган по аккредитации может предложить свой персонал зарубежному органу по аккредитации в качестве наблюдателя;</w:t>
            </w:r>
          </w:p>
          <w:p w:rsidR="00E81720" w:rsidRPr="00A71F87" w:rsidRDefault="00E81720" w:rsidP="00E81720">
            <w:pPr>
              <w:overflowPunct/>
              <w:autoSpaceDE/>
              <w:autoSpaceDN/>
              <w:adjustRightInd/>
              <w:ind w:firstLine="567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20" w:rsidRPr="007D61F6" w:rsidRDefault="00E81720" w:rsidP="00FE2814">
            <w:pPr>
              <w:jc w:val="center"/>
              <w:rPr>
                <w:bCs/>
                <w:i/>
                <w:iCs/>
                <w:sz w:val="20"/>
              </w:rPr>
            </w:pPr>
            <w:r w:rsidRPr="00692BA7">
              <w:rPr>
                <w:bCs/>
                <w:i/>
                <w:iCs/>
                <w:sz w:val="20"/>
              </w:rPr>
              <w:t>Предлагаем обсудить в рамках очередного заседания РГ РОА.</w:t>
            </w:r>
          </w:p>
          <w:p w:rsidR="00E81720" w:rsidRPr="007067AE" w:rsidRDefault="00E81720" w:rsidP="00FE281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81720" w:rsidRPr="007067AE" w:rsidTr="002E5F13">
        <w:tc>
          <w:tcPr>
            <w:tcW w:w="48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20" w:rsidRPr="00A71F87" w:rsidRDefault="00E81720" w:rsidP="00A71F87">
            <w:pPr>
              <w:overflowPunct/>
              <w:autoSpaceDE/>
              <w:autoSpaceDN/>
              <w:adjustRightInd/>
              <w:ind w:firstLine="567"/>
              <w:jc w:val="both"/>
              <w:rPr>
                <w:szCs w:val="28"/>
                <w:lang w:eastAsia="en-US"/>
              </w:rPr>
            </w:pPr>
          </w:p>
        </w:tc>
        <w:tc>
          <w:tcPr>
            <w:tcW w:w="512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20" w:rsidRPr="00A71F87" w:rsidRDefault="00E81720" w:rsidP="00E81720">
            <w:pPr>
              <w:overflowPunct/>
              <w:autoSpaceDE/>
              <w:autoSpaceDN/>
              <w:adjustRightInd/>
              <w:ind w:firstLine="567"/>
              <w:jc w:val="both"/>
              <w:rPr>
                <w:sz w:val="24"/>
                <w:szCs w:val="24"/>
                <w:lang w:eastAsia="en-US"/>
              </w:rPr>
            </w:pPr>
            <w:r w:rsidRPr="00A71F87">
              <w:rPr>
                <w:sz w:val="24"/>
                <w:szCs w:val="24"/>
                <w:lang w:eastAsia="en-US"/>
              </w:rPr>
              <w:t xml:space="preserve">10. Необходимо ввести понятие термину </w:t>
            </w:r>
            <w:r w:rsidRPr="00A71F87">
              <w:rPr>
                <w:sz w:val="24"/>
                <w:szCs w:val="24"/>
                <w:lang w:val="kk-KZ" w:eastAsia="en-US"/>
              </w:rPr>
              <w:t>«совместная аккредитациия»;</w:t>
            </w:r>
          </w:p>
          <w:p w:rsidR="00E81720" w:rsidRPr="00A71F87" w:rsidRDefault="00E81720" w:rsidP="00E81720">
            <w:pPr>
              <w:overflowPunct/>
              <w:autoSpaceDE/>
              <w:autoSpaceDN/>
              <w:adjustRightInd/>
              <w:ind w:firstLine="567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20" w:rsidRPr="007D61F6" w:rsidRDefault="00E81720" w:rsidP="00FE2814">
            <w:pPr>
              <w:jc w:val="center"/>
              <w:rPr>
                <w:bCs/>
                <w:i/>
                <w:iCs/>
                <w:sz w:val="20"/>
              </w:rPr>
            </w:pPr>
            <w:r w:rsidRPr="00692BA7">
              <w:rPr>
                <w:bCs/>
                <w:i/>
                <w:iCs/>
                <w:sz w:val="20"/>
              </w:rPr>
              <w:t>Предлагаем обсудить в рамках очередного заседания РГ РОА.</w:t>
            </w:r>
          </w:p>
          <w:p w:rsidR="00E81720" w:rsidRPr="007067AE" w:rsidRDefault="00E81720" w:rsidP="00FE281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81720" w:rsidRPr="007067AE" w:rsidTr="002E5F13">
        <w:tc>
          <w:tcPr>
            <w:tcW w:w="48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20" w:rsidRPr="00A22720" w:rsidRDefault="00A22720" w:rsidP="00A22720">
            <w:pPr>
              <w:widowControl w:val="0"/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  <w:lang w:eastAsia="x-none"/>
              </w:rPr>
            </w:pPr>
            <w:r>
              <w:rPr>
                <w:color w:val="000000"/>
                <w:sz w:val="24"/>
                <w:szCs w:val="24"/>
                <w:lang w:eastAsia="x-none"/>
              </w:rPr>
              <w:t>П.3.3 абзац 7</w:t>
            </w:r>
            <w:r w:rsidRPr="00A22720">
              <w:rPr>
                <w:color w:val="000000"/>
                <w:sz w:val="24"/>
                <w:szCs w:val="24"/>
                <w:lang w:eastAsia="x-none"/>
              </w:rPr>
              <w:t xml:space="preserve"> Во всех случаях окончательное решение по передаче аккредитации местному ОА должно иметься в виду, когда местный ОА становится участником Соглашения ILAC в соответствующей области или когда Заявитель примет такое решение.</w:t>
            </w:r>
          </w:p>
          <w:p w:rsidR="00E81720" w:rsidRPr="00A71F87" w:rsidRDefault="00E81720" w:rsidP="00A71F87">
            <w:pPr>
              <w:overflowPunct/>
              <w:autoSpaceDE/>
              <w:autoSpaceDN/>
              <w:adjustRightInd/>
              <w:ind w:firstLine="567"/>
              <w:jc w:val="both"/>
              <w:rPr>
                <w:szCs w:val="28"/>
                <w:lang w:eastAsia="en-US"/>
              </w:rPr>
            </w:pPr>
          </w:p>
        </w:tc>
        <w:tc>
          <w:tcPr>
            <w:tcW w:w="512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20" w:rsidRPr="00A71F87" w:rsidRDefault="002455C2" w:rsidP="00E81720">
            <w:pPr>
              <w:overflowPunct/>
              <w:autoSpaceDE/>
              <w:autoSpaceDN/>
              <w:adjustRightInd/>
              <w:ind w:firstLine="567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11. </w:t>
            </w:r>
            <w:r w:rsidR="00E81720" w:rsidRPr="00A71F87">
              <w:rPr>
                <w:sz w:val="24"/>
                <w:szCs w:val="24"/>
                <w:lang w:eastAsia="en-US"/>
              </w:rPr>
              <w:t xml:space="preserve"> п.3.3 абзац 7 исключить;</w:t>
            </w:r>
          </w:p>
          <w:p w:rsidR="00E81720" w:rsidRPr="00A71F87" w:rsidRDefault="00E81720" w:rsidP="00E81720">
            <w:pPr>
              <w:overflowPunct/>
              <w:autoSpaceDE/>
              <w:autoSpaceDN/>
              <w:adjustRightInd/>
              <w:ind w:firstLine="567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0F" w:rsidRPr="007D61F6" w:rsidRDefault="0030150F" w:rsidP="0030150F">
            <w:pPr>
              <w:jc w:val="center"/>
              <w:rPr>
                <w:bCs/>
                <w:i/>
                <w:iCs/>
                <w:sz w:val="20"/>
              </w:rPr>
            </w:pPr>
            <w:r w:rsidRPr="00692BA7">
              <w:rPr>
                <w:bCs/>
                <w:i/>
                <w:iCs/>
                <w:sz w:val="20"/>
              </w:rPr>
              <w:t>Предлагаем обсудить в рамках очередного заседания РГ РОА.</w:t>
            </w:r>
          </w:p>
          <w:p w:rsidR="00E81720" w:rsidRPr="007067AE" w:rsidRDefault="00E81720" w:rsidP="00FE281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81720" w:rsidRPr="007067AE" w:rsidTr="002E5F13">
        <w:tc>
          <w:tcPr>
            <w:tcW w:w="48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20" w:rsidRPr="00A22720" w:rsidRDefault="00A22720" w:rsidP="00A22720">
            <w:pPr>
              <w:widowControl w:val="0"/>
              <w:overflowPunct/>
              <w:autoSpaceDE/>
              <w:autoSpaceDN/>
              <w:adjustRightInd/>
              <w:jc w:val="both"/>
              <w:rPr>
                <w:color w:val="000000"/>
                <w:sz w:val="16"/>
                <w:szCs w:val="16"/>
                <w:lang w:eastAsia="x-none"/>
              </w:rPr>
            </w:pPr>
            <w:r>
              <w:rPr>
                <w:color w:val="000000"/>
                <w:sz w:val="24"/>
                <w:szCs w:val="24"/>
                <w:lang w:eastAsia="x-none"/>
              </w:rPr>
              <w:t xml:space="preserve">П. 3.3 абзац 8 </w:t>
            </w:r>
            <w:r w:rsidRPr="00A22720">
              <w:rPr>
                <w:color w:val="000000"/>
                <w:sz w:val="24"/>
                <w:szCs w:val="24"/>
                <w:lang w:eastAsia="x-none"/>
              </w:rPr>
              <w:t xml:space="preserve">Передача аккредитации местному ОА возможна в случае, если местный ОА присоединится к Соглашению ILAC/ IAF по определенной области/сфере, </w:t>
            </w:r>
            <w:r w:rsidRPr="00A22720">
              <w:rPr>
                <w:color w:val="000000"/>
                <w:sz w:val="24"/>
                <w:szCs w:val="24"/>
                <w:lang w:eastAsia="x-none"/>
              </w:rPr>
              <w:lastRenderedPageBreak/>
              <w:t>при желании на это зарубежного ООС.</w:t>
            </w:r>
          </w:p>
          <w:p w:rsidR="00E81720" w:rsidRPr="00A71F87" w:rsidRDefault="00E81720" w:rsidP="00A71F87">
            <w:pPr>
              <w:overflowPunct/>
              <w:autoSpaceDE/>
              <w:autoSpaceDN/>
              <w:adjustRightInd/>
              <w:ind w:firstLine="567"/>
              <w:jc w:val="both"/>
              <w:rPr>
                <w:szCs w:val="28"/>
                <w:lang w:eastAsia="en-US"/>
              </w:rPr>
            </w:pPr>
          </w:p>
        </w:tc>
        <w:tc>
          <w:tcPr>
            <w:tcW w:w="512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20" w:rsidRPr="00A71F87" w:rsidRDefault="00E81720" w:rsidP="00E81720">
            <w:pPr>
              <w:overflowPunct/>
              <w:autoSpaceDE/>
              <w:autoSpaceDN/>
              <w:adjustRightInd/>
              <w:ind w:firstLine="567"/>
              <w:jc w:val="both"/>
              <w:rPr>
                <w:sz w:val="24"/>
                <w:szCs w:val="24"/>
                <w:lang w:eastAsia="en-US"/>
              </w:rPr>
            </w:pPr>
            <w:r w:rsidRPr="00A71F87">
              <w:rPr>
                <w:sz w:val="24"/>
                <w:szCs w:val="24"/>
                <w:lang w:eastAsia="en-US"/>
              </w:rPr>
              <w:lastRenderedPageBreak/>
              <w:t>12</w:t>
            </w:r>
            <w:r>
              <w:rPr>
                <w:sz w:val="24"/>
                <w:szCs w:val="24"/>
                <w:lang w:eastAsia="en-US"/>
              </w:rPr>
              <w:t>.</w:t>
            </w:r>
            <w:r w:rsidR="002455C2">
              <w:rPr>
                <w:sz w:val="24"/>
                <w:szCs w:val="24"/>
                <w:lang w:eastAsia="en-US"/>
              </w:rPr>
              <w:t xml:space="preserve"> </w:t>
            </w:r>
            <w:r w:rsidRPr="00A71F87">
              <w:rPr>
                <w:sz w:val="24"/>
                <w:szCs w:val="24"/>
                <w:lang w:eastAsia="en-US"/>
              </w:rPr>
              <w:t>п.3.3 абзац 8 к слову «зарубежного ООС» добавить слово «аккредитованного».</w:t>
            </w:r>
          </w:p>
        </w:tc>
        <w:tc>
          <w:tcPr>
            <w:tcW w:w="32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20" w:rsidRPr="007067AE" w:rsidRDefault="00E81720" w:rsidP="00FE2814">
            <w:pPr>
              <w:jc w:val="center"/>
              <w:rPr>
                <w:b/>
                <w:sz w:val="22"/>
                <w:szCs w:val="22"/>
              </w:rPr>
            </w:pPr>
            <w:r w:rsidRPr="00692BA7">
              <w:rPr>
                <w:rFonts w:eastAsia="Calibri"/>
                <w:i/>
                <w:iCs/>
                <w:sz w:val="20"/>
                <w:lang w:eastAsia="en-US"/>
              </w:rPr>
              <w:t>Предлагаем принять.</w:t>
            </w:r>
          </w:p>
        </w:tc>
      </w:tr>
      <w:tr w:rsidR="003F18F0" w:rsidRPr="007067AE" w:rsidTr="003A2E8B">
        <w:tc>
          <w:tcPr>
            <w:tcW w:w="1318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52E" w:rsidRPr="007067AE" w:rsidRDefault="003F18F0" w:rsidP="00B174C1">
            <w:pPr>
              <w:jc w:val="center"/>
            </w:pPr>
            <w:r w:rsidRPr="00794EB6">
              <w:rPr>
                <w:b/>
                <w:sz w:val="22"/>
                <w:szCs w:val="22"/>
              </w:rPr>
              <w:t>Кыргызская Республика</w:t>
            </w:r>
            <w:r w:rsidRPr="007067AE">
              <w:rPr>
                <w:b/>
              </w:rPr>
              <w:t xml:space="preserve"> </w:t>
            </w:r>
            <w:r w:rsidRPr="007067AE">
              <w:rPr>
                <w:b/>
              </w:rPr>
              <w:br/>
            </w:r>
            <w:r w:rsidRPr="00794EB6">
              <w:rPr>
                <w:sz w:val="22"/>
                <w:szCs w:val="22"/>
              </w:rPr>
              <w:t>(</w:t>
            </w:r>
            <w:r w:rsidR="00B044C1">
              <w:rPr>
                <w:sz w:val="22"/>
                <w:szCs w:val="22"/>
              </w:rPr>
              <w:t>разработчик проекта документа</w:t>
            </w:r>
            <w:r w:rsidRPr="00794EB6">
              <w:rPr>
                <w:sz w:val="22"/>
                <w:szCs w:val="22"/>
              </w:rPr>
              <w:t>)</w:t>
            </w:r>
          </w:p>
        </w:tc>
      </w:tr>
      <w:tr w:rsidR="003F18F0" w:rsidRPr="007067AE" w:rsidTr="003A2E8B">
        <w:tc>
          <w:tcPr>
            <w:tcW w:w="1318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F0" w:rsidRPr="007067AE" w:rsidRDefault="003F18F0" w:rsidP="003A2E8B">
            <w:pPr>
              <w:tabs>
                <w:tab w:val="left" w:pos="14092"/>
              </w:tabs>
              <w:ind w:left="-108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Молдова</w:t>
            </w:r>
          </w:p>
          <w:p w:rsidR="00C17EDD" w:rsidRDefault="003F18F0" w:rsidP="00C17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C17EDD">
              <w:rPr>
                <w:sz w:val="22"/>
                <w:szCs w:val="22"/>
              </w:rPr>
              <w:t xml:space="preserve">письмо директора </w:t>
            </w:r>
            <w:r w:rsidR="00C17EDD">
              <w:rPr>
                <w:sz w:val="22"/>
                <w:szCs w:val="22"/>
                <w:lang w:val="en-US"/>
              </w:rPr>
              <w:t>MOLDAC</w:t>
            </w:r>
            <w:r w:rsidR="00C17EDD" w:rsidRPr="00C17EDD">
              <w:rPr>
                <w:sz w:val="22"/>
                <w:szCs w:val="22"/>
              </w:rPr>
              <w:t xml:space="preserve"> </w:t>
            </w:r>
            <w:r w:rsidR="00C17EDD">
              <w:rPr>
                <w:sz w:val="22"/>
                <w:szCs w:val="22"/>
              </w:rPr>
              <w:t>Е. Споялэ</w:t>
            </w:r>
          </w:p>
          <w:p w:rsidR="003F18F0" w:rsidRPr="007067AE" w:rsidRDefault="00C17EDD" w:rsidP="00C17EDD">
            <w:pPr>
              <w:jc w:val="center"/>
              <w:rPr>
                <w:sz w:val="22"/>
                <w:szCs w:val="22"/>
              </w:rPr>
            </w:pPr>
            <w:r w:rsidRPr="00C17EDD">
              <w:rPr>
                <w:sz w:val="22"/>
                <w:szCs w:val="22"/>
              </w:rPr>
              <w:t>№ 24/128-DE6 от 05.03.2020</w:t>
            </w:r>
            <w:r w:rsidR="003F18F0">
              <w:rPr>
                <w:sz w:val="22"/>
                <w:szCs w:val="22"/>
              </w:rPr>
              <w:t>)</w:t>
            </w:r>
          </w:p>
        </w:tc>
      </w:tr>
      <w:tr w:rsidR="00C17EDD" w:rsidRPr="007067AE" w:rsidTr="003A2E8B">
        <w:tc>
          <w:tcPr>
            <w:tcW w:w="1318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EDD" w:rsidRPr="00C17EDD" w:rsidRDefault="00C17EDD" w:rsidP="00C17EDD">
            <w:pPr>
              <w:tabs>
                <w:tab w:val="left" w:pos="14092"/>
              </w:tabs>
              <w:ind w:left="-108" w:firstLine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Предложения и замечания отсутствуют.</w:t>
            </w:r>
          </w:p>
        </w:tc>
      </w:tr>
      <w:tr w:rsidR="003F18F0" w:rsidRPr="007067AE" w:rsidTr="003A2E8B">
        <w:tc>
          <w:tcPr>
            <w:tcW w:w="1318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4C1" w:rsidRDefault="003F18F0" w:rsidP="00B044C1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Российская Федерация</w:t>
            </w:r>
          </w:p>
          <w:p w:rsidR="00416E74" w:rsidRDefault="003F18F0" w:rsidP="00416E74">
            <w:pPr>
              <w:jc w:val="center"/>
              <w:rPr>
                <w:sz w:val="22"/>
                <w:szCs w:val="22"/>
              </w:rPr>
            </w:pPr>
            <w:r w:rsidRPr="00794EB6">
              <w:rPr>
                <w:sz w:val="22"/>
                <w:szCs w:val="22"/>
              </w:rPr>
              <w:t>(</w:t>
            </w:r>
            <w:r w:rsidR="00416E74">
              <w:rPr>
                <w:sz w:val="22"/>
                <w:szCs w:val="22"/>
              </w:rPr>
              <w:t>письмо заместителя руководителя Росаккредитации Д.В. Гоголева</w:t>
            </w:r>
          </w:p>
          <w:p w:rsidR="003F18F0" w:rsidRPr="007067AE" w:rsidRDefault="00416E74" w:rsidP="00416E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16827/05-ДГ от 20.08.2020</w:t>
            </w:r>
            <w:r w:rsidR="003F18F0" w:rsidRPr="00794EB6">
              <w:rPr>
                <w:sz w:val="22"/>
                <w:szCs w:val="22"/>
              </w:rPr>
              <w:t>)</w:t>
            </w:r>
          </w:p>
        </w:tc>
      </w:tr>
      <w:tr w:rsidR="00A61DAC" w:rsidRPr="007067AE" w:rsidTr="004202FA">
        <w:tc>
          <w:tcPr>
            <w:tcW w:w="482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DAC" w:rsidRDefault="00A61DAC" w:rsidP="00B83319">
            <w:pPr>
              <w:jc w:val="center"/>
              <w:rPr>
                <w:rFonts w:ascii="Times New Roman CYR" w:hAnsi="Times New Roman CYR"/>
                <w:b/>
                <w:spacing w:val="-2"/>
                <w:sz w:val="20"/>
              </w:rPr>
            </w:pPr>
            <w:r>
              <w:rPr>
                <w:rFonts w:ascii="Times New Roman CYR" w:hAnsi="Times New Roman CYR"/>
                <w:b/>
                <w:sz w:val="20"/>
              </w:rPr>
              <w:t>Действующая редакция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DAC" w:rsidRDefault="00A61DAC" w:rsidP="00B83319">
            <w:pPr>
              <w:jc w:val="center"/>
              <w:rPr>
                <w:rFonts w:ascii="Times New Roman CYR" w:hAnsi="Times New Roman CYR"/>
                <w:b/>
                <w:sz w:val="20"/>
              </w:rPr>
            </w:pPr>
            <w:r>
              <w:rPr>
                <w:rFonts w:ascii="Times New Roman CYR" w:hAnsi="Times New Roman CYR"/>
                <w:b/>
                <w:sz w:val="20"/>
              </w:rPr>
              <w:t>Предложения национальных органов</w:t>
            </w:r>
          </w:p>
          <w:p w:rsidR="00A61DAC" w:rsidRDefault="00A61DAC" w:rsidP="00B83319">
            <w:pPr>
              <w:jc w:val="center"/>
              <w:rPr>
                <w:rFonts w:ascii="Times New Roman CYR" w:hAnsi="Times New Roman CYR"/>
                <w:b/>
                <w:sz w:val="20"/>
              </w:rPr>
            </w:pPr>
            <w:r>
              <w:rPr>
                <w:rFonts w:ascii="Times New Roman CYR" w:hAnsi="Times New Roman CYR"/>
                <w:b/>
                <w:sz w:val="20"/>
              </w:rPr>
              <w:t>государств-участников СНГ</w:t>
            </w:r>
          </w:p>
        </w:tc>
        <w:tc>
          <w:tcPr>
            <w:tcW w:w="32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DAC" w:rsidRDefault="00A61DAC" w:rsidP="00B83319">
            <w:pPr>
              <w:jc w:val="center"/>
              <w:rPr>
                <w:rFonts w:ascii="Times New Roman CYR" w:hAnsi="Times New Roman CYR"/>
                <w:b/>
                <w:sz w:val="20"/>
              </w:rPr>
            </w:pPr>
            <w:r>
              <w:rPr>
                <w:rFonts w:ascii="Times New Roman CYR" w:hAnsi="Times New Roman CYR"/>
                <w:b/>
                <w:sz w:val="20"/>
              </w:rPr>
              <w:t>Позиция разработчика</w:t>
            </w:r>
          </w:p>
        </w:tc>
      </w:tr>
      <w:tr w:rsidR="00A61DAC" w:rsidRPr="007067AE" w:rsidTr="00A61DAC">
        <w:tc>
          <w:tcPr>
            <w:tcW w:w="482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AC" w:rsidRPr="007067AE" w:rsidRDefault="00A61DAC" w:rsidP="00616B82">
            <w:pPr>
              <w:ind w:firstLine="60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AC" w:rsidRPr="00616B82" w:rsidRDefault="00A61DAC" w:rsidP="00A61DAC">
            <w:pPr>
              <w:ind w:right="-108" w:firstLine="601"/>
              <w:jc w:val="both"/>
              <w:rPr>
                <w:sz w:val="22"/>
                <w:szCs w:val="22"/>
              </w:rPr>
            </w:pPr>
            <w:r w:rsidRPr="00616B82">
              <w:rPr>
                <w:sz w:val="22"/>
                <w:szCs w:val="22"/>
              </w:rPr>
              <w:t>Одним из базовых принципов международного сотрудничества в области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аккредитации является недопущение конкуренции между органами по аккредитации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различных государств. В частности, это отражено в Договоре о Евразийском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экономическом союзе, подписантом которого наряду с Российской Федерацией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является Кыргызская Республика, а также другие государства, национальные органы</w:t>
            </w:r>
          </w:p>
          <w:p w:rsidR="00A61DAC" w:rsidRPr="00616B82" w:rsidRDefault="00A61DAC" w:rsidP="00A61DAC">
            <w:pPr>
              <w:jc w:val="both"/>
              <w:rPr>
                <w:sz w:val="22"/>
                <w:szCs w:val="22"/>
              </w:rPr>
            </w:pPr>
            <w:r w:rsidRPr="00616B82">
              <w:rPr>
                <w:sz w:val="22"/>
                <w:szCs w:val="22"/>
              </w:rPr>
              <w:t>по аккредитации которых подтвердили заинтересованность в участии в деятельности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Региональной организации (ассоциации) по аккредитации Евразийского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сотрудничества по аккредитации (далее – ЕААС). В ч. 3 статьи 54 упомянутого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Договора указано, что орган по аккредитации одного государства-члена не должен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конкурировать с органами по аккредитации других государств-членов.</w:t>
            </w:r>
          </w:p>
          <w:p w:rsidR="00A61DAC" w:rsidRPr="00616B82" w:rsidRDefault="00A61DAC" w:rsidP="00A61DAC">
            <w:pPr>
              <w:jc w:val="both"/>
              <w:rPr>
                <w:sz w:val="22"/>
                <w:szCs w:val="22"/>
              </w:rPr>
            </w:pPr>
            <w:r w:rsidRPr="00616B82">
              <w:rPr>
                <w:sz w:val="22"/>
                <w:szCs w:val="22"/>
              </w:rPr>
              <w:t>Для недопущения конкуренции органов по аккредитации государств-членов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орган по оценке соответствия одного государства-члена обращается в целях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аккредитации в орган по аккредитации того государства-члена, на территории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 xml:space="preserve">которого он </w:t>
            </w:r>
            <w:r w:rsidRPr="00616B82">
              <w:rPr>
                <w:sz w:val="22"/>
                <w:szCs w:val="22"/>
              </w:rPr>
              <w:lastRenderedPageBreak/>
              <w:t>зарегистрирован в качестве юридического лица.</w:t>
            </w:r>
          </w:p>
          <w:p w:rsidR="00A61DAC" w:rsidRPr="00616B82" w:rsidRDefault="00A61DAC" w:rsidP="00A61DAC">
            <w:pPr>
              <w:ind w:firstLine="601"/>
              <w:jc w:val="both"/>
              <w:rPr>
                <w:sz w:val="22"/>
                <w:szCs w:val="22"/>
              </w:rPr>
            </w:pPr>
            <w:r w:rsidRPr="00616B82">
              <w:rPr>
                <w:sz w:val="22"/>
                <w:szCs w:val="22"/>
              </w:rPr>
              <w:t>Исключением, позволяющим предоставлять аккредитацию органам по оценке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соответствия другого государства-члена ЕАЭС, является случай, когда орган по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аккредитации того государства-члена, на территории которого зарегистрирован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данный орган по оценке соответствия, не осуществляет аккредитацию в требуемой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области.</w:t>
            </w:r>
          </w:p>
          <w:p w:rsidR="00A61DAC" w:rsidRPr="00616B82" w:rsidRDefault="00A61DAC" w:rsidP="00A61DAC">
            <w:pPr>
              <w:ind w:firstLine="601"/>
              <w:jc w:val="both"/>
              <w:rPr>
                <w:sz w:val="22"/>
                <w:szCs w:val="22"/>
              </w:rPr>
            </w:pPr>
            <w:r w:rsidRPr="00616B82">
              <w:rPr>
                <w:sz w:val="22"/>
                <w:szCs w:val="22"/>
              </w:rPr>
              <w:t>Аналогичный подход к трансграничной аккредитации реализован и в рамках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региональных организаций по аккредитации. Например, в п. 3.1 документа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Европейской аккредитации (далее – ЕА) «Политика трансграничной аккредитации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ЕА и процедуры трансграничного сотрудничества между членами ЕА» (EA-2/13 EA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  <w:lang w:val="en-US"/>
              </w:rPr>
              <w:t>Cross</w:t>
            </w:r>
            <w:r w:rsidRPr="00616B82"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  <w:lang w:val="en-US"/>
              </w:rPr>
              <w:t>Border</w:t>
            </w:r>
            <w:r w:rsidRPr="00616B82"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  <w:lang w:val="en-US"/>
              </w:rPr>
              <w:t>Accreditation</w:t>
            </w:r>
            <w:r w:rsidRPr="00616B82"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  <w:lang w:val="en-US"/>
              </w:rPr>
              <w:t>Policy</w:t>
            </w:r>
            <w:r w:rsidRPr="00616B82"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  <w:lang w:val="en-US"/>
              </w:rPr>
              <w:t>and</w:t>
            </w:r>
            <w:r w:rsidRPr="00616B82"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  <w:lang w:val="en-US"/>
              </w:rPr>
              <w:t>Procedure</w:t>
            </w:r>
            <w:r w:rsidRPr="00616B82"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  <w:lang w:val="en-US"/>
              </w:rPr>
              <w:t>for</w:t>
            </w:r>
            <w:r w:rsidRPr="00616B82"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  <w:lang w:val="en-US"/>
              </w:rPr>
              <w:t>Cross</w:t>
            </w:r>
            <w:r w:rsidRPr="00616B82"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  <w:lang w:val="en-US"/>
              </w:rPr>
              <w:t>Border</w:t>
            </w:r>
            <w:r w:rsidRPr="00616B82"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  <w:lang w:val="en-US"/>
              </w:rPr>
              <w:t>Cooperation</w:t>
            </w:r>
            <w:r w:rsidRPr="00616B82"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  <w:lang w:val="en-US"/>
              </w:rPr>
              <w:t>between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EA Members) прямо указывается, что политика ЕА состоит в том, что член ЕА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не должен продвигать или продавать свои услуги в сфере аккредитации в государстве,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к которому принадлежит другой орган по аккредитации в регионе, охватываемым ЕА.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Исключения из этого правила, позволяющие осуществлять аккредитацию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на территории другого государства в рамках ЕА, приведены в статье 7 директивы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Европейского парламента и Совета № 765/2008: в случаях отсутствия национального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органа по аккредитации в государстве, где действует орган по оценке соответствия,</w:t>
            </w:r>
          </w:p>
          <w:p w:rsidR="00A61DAC" w:rsidRPr="00616B82" w:rsidRDefault="00A61DAC" w:rsidP="00A61DAC">
            <w:pPr>
              <w:jc w:val="both"/>
              <w:rPr>
                <w:sz w:val="22"/>
                <w:szCs w:val="22"/>
              </w:rPr>
            </w:pPr>
            <w:r w:rsidRPr="00616B82">
              <w:rPr>
                <w:sz w:val="22"/>
                <w:szCs w:val="22"/>
              </w:rPr>
              <w:t>либо не предоставления соответствующим национальным органом по аккредитации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аккредитации в требуемой сфере, либо если этот орган не прошел паритетной оценки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в рамках ЕА.</w:t>
            </w:r>
          </w:p>
          <w:p w:rsidR="00A61DAC" w:rsidRPr="00B16B7F" w:rsidRDefault="00A61DAC" w:rsidP="00A61DAC">
            <w:pPr>
              <w:ind w:firstLine="601"/>
              <w:jc w:val="both"/>
              <w:rPr>
                <w:b/>
                <w:sz w:val="22"/>
                <w:szCs w:val="22"/>
              </w:rPr>
            </w:pPr>
            <w:r w:rsidRPr="00616B82">
              <w:rPr>
                <w:sz w:val="22"/>
                <w:szCs w:val="22"/>
              </w:rPr>
              <w:t>В этой связи считаем целесообразным ограничить перечень случаев,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позволяющих получать аккредитацию в зарубежном органе по аккредитации в рамках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 xml:space="preserve">ЕААС, приведенный в п. </w:t>
            </w:r>
            <w:r w:rsidRPr="00616B82">
              <w:rPr>
                <w:sz w:val="22"/>
                <w:szCs w:val="22"/>
              </w:rPr>
              <w:lastRenderedPageBreak/>
              <w:t>3.2.1 проекта Политики, ограничившись следующим –</w:t>
            </w:r>
            <w:r>
              <w:rPr>
                <w:sz w:val="22"/>
                <w:szCs w:val="22"/>
              </w:rPr>
              <w:t xml:space="preserve"> </w:t>
            </w:r>
            <w:r w:rsidRPr="00B16B7F">
              <w:rPr>
                <w:b/>
                <w:sz w:val="22"/>
                <w:szCs w:val="22"/>
              </w:rPr>
              <w:t>орган по аккредитации-член ЕААС не осуществляет аккредитацию в требуемой сфере.</w:t>
            </w:r>
          </w:p>
          <w:p w:rsidR="00A61DAC" w:rsidRPr="007067AE" w:rsidRDefault="00A61DAC" w:rsidP="00616B82">
            <w:pPr>
              <w:ind w:firstLine="60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AC" w:rsidRPr="007D61F6" w:rsidRDefault="00A61DAC" w:rsidP="00A61DAC">
            <w:pPr>
              <w:jc w:val="both"/>
              <w:rPr>
                <w:bCs/>
                <w:i/>
                <w:iCs/>
                <w:sz w:val="20"/>
              </w:rPr>
            </w:pPr>
            <w:r w:rsidRPr="00692BA7">
              <w:rPr>
                <w:bCs/>
                <w:i/>
                <w:iCs/>
                <w:sz w:val="20"/>
              </w:rPr>
              <w:lastRenderedPageBreak/>
              <w:t>Предлагаем обсудить в рамках очередного заседания РГ РОА.</w:t>
            </w:r>
          </w:p>
          <w:p w:rsidR="00A61DAC" w:rsidRPr="007067AE" w:rsidRDefault="00A61DAC" w:rsidP="00B044C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61DAC" w:rsidRPr="007067AE" w:rsidTr="00A61DAC">
        <w:tc>
          <w:tcPr>
            <w:tcW w:w="482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AC" w:rsidRPr="00616B82" w:rsidRDefault="00A61DAC" w:rsidP="00616B82">
            <w:pPr>
              <w:ind w:firstLine="601"/>
              <w:jc w:val="both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AC" w:rsidRPr="00616B82" w:rsidRDefault="00A61DAC" w:rsidP="00A61DAC">
            <w:pPr>
              <w:ind w:firstLine="601"/>
              <w:jc w:val="both"/>
              <w:rPr>
                <w:sz w:val="22"/>
                <w:szCs w:val="22"/>
              </w:rPr>
            </w:pPr>
            <w:r w:rsidRPr="00616B82">
              <w:rPr>
                <w:sz w:val="22"/>
                <w:szCs w:val="22"/>
              </w:rPr>
              <w:t>Полагаем также необходимым закрепить в п. 3.3 проекта Политики безусловное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обязательство органа по аккредитации-члена ЕААС уведомлять другой орган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по аккредитации-член ЕААС о факте обращения имеющего государственную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регистрацию в его стране заявителя/органа по оценке соответствия, а также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возможность представителей органа по аккредитации-члена ЕААС,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где зарегистрирован заявитель/орган по оценке соответствия, участвовать в качестве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наблюдателей при проведении оценки.</w:t>
            </w:r>
          </w:p>
          <w:p w:rsidR="00A61DAC" w:rsidRPr="00616B82" w:rsidRDefault="00A61DAC" w:rsidP="00A61DAC">
            <w:pPr>
              <w:ind w:right="-108" w:firstLine="601"/>
              <w:jc w:val="both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AC" w:rsidRPr="007067AE" w:rsidRDefault="00A61DAC" w:rsidP="00B044C1">
            <w:pPr>
              <w:jc w:val="center"/>
              <w:rPr>
                <w:b/>
                <w:sz w:val="22"/>
                <w:szCs w:val="22"/>
              </w:rPr>
            </w:pPr>
            <w:r w:rsidRPr="00692BA7">
              <w:rPr>
                <w:rFonts w:eastAsia="Calibri"/>
                <w:i/>
                <w:iCs/>
                <w:sz w:val="20"/>
                <w:lang w:eastAsia="en-US"/>
              </w:rPr>
              <w:t>Предлагаем принять.</w:t>
            </w:r>
          </w:p>
        </w:tc>
      </w:tr>
      <w:tr w:rsidR="00A61DAC" w:rsidRPr="007067AE" w:rsidTr="00A61DAC">
        <w:tc>
          <w:tcPr>
            <w:tcW w:w="482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AC" w:rsidRPr="00616B82" w:rsidRDefault="00A61DAC" w:rsidP="00616B82">
            <w:pPr>
              <w:ind w:firstLine="601"/>
              <w:jc w:val="both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AC" w:rsidRPr="00616B82" w:rsidRDefault="00A61DAC" w:rsidP="00A61DAC">
            <w:pPr>
              <w:ind w:right="-108" w:firstLine="601"/>
              <w:jc w:val="both"/>
              <w:rPr>
                <w:sz w:val="22"/>
                <w:szCs w:val="22"/>
              </w:rPr>
            </w:pPr>
            <w:r w:rsidRPr="00616B82">
              <w:rPr>
                <w:sz w:val="22"/>
                <w:szCs w:val="22"/>
              </w:rPr>
              <w:t>Дополнительно информируем, что документ ILAC, на который приводится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ссылка в разделе 1 проекта Политики «Трансграничная аккредитаций. Принципы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взаимодействия» (ILAC G21:09/2012 Cross Frontier Accreditation – Principles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for Cooperation), согласно информации официального сайта ILAC, находится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в настоящее время в стадии пересмотра, при этом возможен перевод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его переработанной версии в категорию политик, т.е. документов, носящих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обязательный характер. В связи с этим, а также имея в виду, что на текущий момент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документ, касающийся вопросов трансграничной аккредитации, не относится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в соответствии с требованиями ILAC/IAF к числу документов, обязательных для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 xml:space="preserve">системы менеджмента региональной организации по аккредитации, </w:t>
            </w:r>
            <w:r w:rsidRPr="000B36A1">
              <w:rPr>
                <w:b/>
                <w:sz w:val="22"/>
                <w:szCs w:val="22"/>
              </w:rPr>
              <w:t>полагаем целесообразным предложить приостановить работу над Политикой до опубликования новой версии соответствующего документа ILAC</w:t>
            </w:r>
          </w:p>
        </w:tc>
        <w:tc>
          <w:tcPr>
            <w:tcW w:w="32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AC" w:rsidRPr="007D61F6" w:rsidRDefault="00A61DAC" w:rsidP="00A61DAC">
            <w:pPr>
              <w:jc w:val="both"/>
              <w:rPr>
                <w:bCs/>
                <w:i/>
                <w:iCs/>
                <w:sz w:val="20"/>
              </w:rPr>
            </w:pPr>
            <w:r w:rsidRPr="00692BA7">
              <w:rPr>
                <w:bCs/>
                <w:i/>
                <w:iCs/>
                <w:sz w:val="20"/>
              </w:rPr>
              <w:t>Предлагаем обсудить в рамках очередного заседания РГ РОА.</w:t>
            </w:r>
          </w:p>
          <w:p w:rsidR="00A61DAC" w:rsidRPr="007067AE" w:rsidRDefault="00A61DAC" w:rsidP="00B044C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F18F0" w:rsidRPr="007067AE" w:rsidTr="003A2E8B">
        <w:tc>
          <w:tcPr>
            <w:tcW w:w="1318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F0" w:rsidRDefault="003F18F0" w:rsidP="009F59BC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lastRenderedPageBreak/>
              <w:t>Республика Таджикистан</w:t>
            </w:r>
          </w:p>
          <w:p w:rsidR="003F18F0" w:rsidRPr="007067AE" w:rsidRDefault="003F18F0" w:rsidP="002D37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(предложения не поступали)</w:t>
            </w:r>
          </w:p>
        </w:tc>
      </w:tr>
      <w:tr w:rsidR="003F18F0" w:rsidRPr="007067AE" w:rsidTr="003A2E8B">
        <w:tc>
          <w:tcPr>
            <w:tcW w:w="1318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F0" w:rsidRDefault="003F18F0" w:rsidP="009F59BC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Туркменистан</w:t>
            </w:r>
          </w:p>
          <w:p w:rsidR="003F18F0" w:rsidRDefault="003F18F0" w:rsidP="009F59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7067AE">
              <w:rPr>
                <w:sz w:val="22"/>
                <w:szCs w:val="22"/>
              </w:rPr>
              <w:t>предложения не поступали</w:t>
            </w:r>
            <w:r>
              <w:rPr>
                <w:sz w:val="22"/>
                <w:szCs w:val="22"/>
              </w:rPr>
              <w:t>)</w:t>
            </w:r>
          </w:p>
          <w:p w:rsidR="00B174C1" w:rsidRPr="007067AE" w:rsidRDefault="00B174C1" w:rsidP="009F59B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F18F0" w:rsidRPr="007067AE" w:rsidTr="003A2E8B">
        <w:tc>
          <w:tcPr>
            <w:tcW w:w="1318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F0" w:rsidRDefault="003F18F0" w:rsidP="009F59BC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Узбекистан</w:t>
            </w:r>
          </w:p>
          <w:p w:rsidR="00B174C1" w:rsidRPr="00B174C1" w:rsidRDefault="00B174C1" w:rsidP="00B174C1">
            <w:pPr>
              <w:pStyle w:val="Default"/>
              <w:ind w:left="709"/>
              <w:jc w:val="center"/>
              <w:rPr>
                <w:rFonts w:ascii="Times New Roman" w:hAnsi="Times New Roman" w:cs="Times New Roman"/>
              </w:rPr>
            </w:pPr>
            <w:r w:rsidRPr="00B174C1">
              <w:rPr>
                <w:rFonts w:ascii="Times New Roman" w:hAnsi="Times New Roman" w:cs="Times New Roman"/>
              </w:rPr>
              <w:t>(письмо директора ГУП «Центр по аккредитации» А.Закирова</w:t>
            </w:r>
          </w:p>
          <w:p w:rsidR="003F18F0" w:rsidRPr="007067AE" w:rsidRDefault="00B174C1" w:rsidP="00B174C1">
            <w:pPr>
              <w:jc w:val="center"/>
              <w:rPr>
                <w:sz w:val="22"/>
                <w:szCs w:val="22"/>
              </w:rPr>
            </w:pPr>
            <w:r w:rsidRPr="00B174C1">
              <w:rPr>
                <w:sz w:val="24"/>
                <w:szCs w:val="24"/>
              </w:rPr>
              <w:t>№ 01/351 от 02.03.2020</w:t>
            </w:r>
            <w:r>
              <w:rPr>
                <w:sz w:val="24"/>
                <w:szCs w:val="24"/>
              </w:rPr>
              <w:t>)</w:t>
            </w:r>
          </w:p>
        </w:tc>
      </w:tr>
      <w:tr w:rsidR="00A61DAC" w:rsidRPr="007067AE" w:rsidTr="00A61DAC">
        <w:tc>
          <w:tcPr>
            <w:tcW w:w="482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DAC" w:rsidRDefault="00A61DAC" w:rsidP="00B83319">
            <w:pPr>
              <w:jc w:val="center"/>
              <w:rPr>
                <w:rFonts w:ascii="Times New Roman CYR" w:hAnsi="Times New Roman CYR"/>
                <w:b/>
                <w:spacing w:val="-2"/>
                <w:sz w:val="20"/>
              </w:rPr>
            </w:pPr>
            <w:r>
              <w:rPr>
                <w:rFonts w:ascii="Times New Roman CYR" w:hAnsi="Times New Roman CYR"/>
                <w:b/>
                <w:sz w:val="20"/>
              </w:rPr>
              <w:t>Действующая редакция</w:t>
            </w:r>
          </w:p>
          <w:p w:rsidR="00A61DAC" w:rsidRDefault="00A61DAC" w:rsidP="00B83319">
            <w:pPr>
              <w:jc w:val="center"/>
              <w:rPr>
                <w:rFonts w:ascii="Times New Roman CYR" w:hAnsi="Times New Roman CYR"/>
                <w:b/>
                <w:sz w:val="20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DAC" w:rsidRDefault="00A61DAC" w:rsidP="00A61DAC">
            <w:pPr>
              <w:jc w:val="center"/>
              <w:rPr>
                <w:rFonts w:ascii="Times New Roman CYR" w:hAnsi="Times New Roman CYR"/>
                <w:b/>
                <w:sz w:val="20"/>
              </w:rPr>
            </w:pPr>
            <w:r>
              <w:rPr>
                <w:rFonts w:ascii="Times New Roman CYR" w:hAnsi="Times New Roman CYR"/>
                <w:b/>
                <w:sz w:val="20"/>
              </w:rPr>
              <w:t>Предложения национальных органов</w:t>
            </w:r>
          </w:p>
          <w:p w:rsidR="00A61DAC" w:rsidRDefault="00A61DAC" w:rsidP="00A61DAC">
            <w:pPr>
              <w:jc w:val="center"/>
              <w:rPr>
                <w:rFonts w:ascii="Times New Roman CYR" w:hAnsi="Times New Roman CYR"/>
                <w:b/>
                <w:sz w:val="20"/>
              </w:rPr>
            </w:pPr>
            <w:r>
              <w:rPr>
                <w:rFonts w:ascii="Times New Roman CYR" w:hAnsi="Times New Roman CYR"/>
                <w:b/>
                <w:sz w:val="20"/>
              </w:rPr>
              <w:t>государств-участников СНГ</w:t>
            </w:r>
          </w:p>
        </w:tc>
        <w:tc>
          <w:tcPr>
            <w:tcW w:w="32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DAC" w:rsidRDefault="00A61DAC" w:rsidP="00B83319">
            <w:pPr>
              <w:jc w:val="center"/>
              <w:rPr>
                <w:rFonts w:ascii="Times New Roman CYR" w:hAnsi="Times New Roman CYR"/>
                <w:b/>
                <w:sz w:val="20"/>
              </w:rPr>
            </w:pPr>
            <w:r>
              <w:rPr>
                <w:rFonts w:ascii="Times New Roman CYR" w:hAnsi="Times New Roman CYR"/>
                <w:b/>
                <w:sz w:val="20"/>
              </w:rPr>
              <w:t>Позиция разработчика</w:t>
            </w:r>
          </w:p>
        </w:tc>
      </w:tr>
      <w:tr w:rsidR="00A61DAC" w:rsidRPr="007067AE" w:rsidTr="00A61DAC">
        <w:tc>
          <w:tcPr>
            <w:tcW w:w="482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5C" w:rsidRPr="0031705C" w:rsidRDefault="0031705C" w:rsidP="0031705C">
            <w:pPr>
              <w:pStyle w:val="af2"/>
              <w:outlineLvl w:val="0"/>
              <w:rPr>
                <w:color w:val="auto"/>
                <w:sz w:val="24"/>
                <w:lang w:val="ru-RU"/>
              </w:rPr>
            </w:pPr>
            <w:r>
              <w:rPr>
                <w:color w:val="auto"/>
                <w:sz w:val="24"/>
                <w:lang w:val="ru-RU"/>
              </w:rPr>
              <w:t xml:space="preserve">Р.1 абзац 1 </w:t>
            </w:r>
            <w:r w:rsidRPr="0031705C">
              <w:rPr>
                <w:color w:val="auto"/>
                <w:sz w:val="24"/>
                <w:lang w:val="ru-RU"/>
              </w:rPr>
              <w:t>Настоящий документ является документом системы менеджмента  Евразийского сотрудничества по аккредитации (далее- EAAC) Содружества Независимых Государств, разработан в развитие «Соглашения о взаимном признании органов по оценке соответствия» (далее- Соглашение) с учетом требований</w:t>
            </w:r>
            <w:r w:rsidRPr="0031705C">
              <w:rPr>
                <w:color w:val="auto"/>
              </w:rPr>
              <w:t xml:space="preserve"> </w:t>
            </w:r>
            <w:r w:rsidRPr="0031705C">
              <w:rPr>
                <w:color w:val="auto"/>
                <w:sz w:val="24"/>
                <w:lang w:val="ru-RU"/>
              </w:rPr>
              <w:t>EA-2/13, IAF MD 12, ILAC G21 и определяет политику EAAC в отношении трансграничной аккредитации.</w:t>
            </w:r>
          </w:p>
          <w:p w:rsidR="00A61DAC" w:rsidRDefault="00A61DAC" w:rsidP="0031705C">
            <w:pPr>
              <w:tabs>
                <w:tab w:val="left" w:pos="360"/>
                <w:tab w:val="left" w:pos="851"/>
                <w:tab w:val="left" w:pos="993"/>
              </w:tabs>
              <w:overflowPunct/>
              <w:autoSpaceDE/>
              <w:autoSpaceDN/>
              <w:adjustRightInd/>
              <w:spacing w:after="160" w:line="256" w:lineRule="auto"/>
              <w:contextualSpacing/>
              <w:jc w:val="both"/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AC" w:rsidRPr="00185718" w:rsidRDefault="00A61DAC" w:rsidP="00A61DAC">
            <w:pPr>
              <w:numPr>
                <w:ilvl w:val="0"/>
                <w:numId w:val="4"/>
              </w:numPr>
              <w:tabs>
                <w:tab w:val="left" w:pos="709"/>
                <w:tab w:val="left" w:pos="851"/>
                <w:tab w:val="left" w:pos="993"/>
              </w:tabs>
              <w:overflowPunct/>
              <w:autoSpaceDE/>
              <w:autoSpaceDN/>
              <w:adjustRightInd/>
              <w:spacing w:after="160" w:line="256" w:lineRule="auto"/>
              <w:ind w:left="0" w:firstLine="709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85718">
              <w:rPr>
                <w:rFonts w:eastAsia="Calibri"/>
                <w:sz w:val="24"/>
                <w:szCs w:val="24"/>
                <w:lang w:eastAsia="en-US"/>
              </w:rPr>
              <w:t>предлагается исключить выражение «Содружества Независимых Государств», так как в перспективе возможно в состав региональной организации присоединение стран, не входящих в число государств - членов СНГ. В связи с этим, в целом по тексту не рекомендуется ограничивать сферу распространения положений документа только на «…государства- члены СНГ…», тем более, что это противоречит содержанию второго абзаца пункта 3.1.</w:t>
            </w:r>
          </w:p>
          <w:p w:rsidR="00A61DAC" w:rsidRDefault="00A61DAC" w:rsidP="00A61DAC">
            <w:pPr>
              <w:tabs>
                <w:tab w:val="left" w:pos="360"/>
                <w:tab w:val="left" w:pos="851"/>
                <w:tab w:val="left" w:pos="993"/>
              </w:tabs>
              <w:overflowPunct/>
              <w:autoSpaceDE/>
              <w:autoSpaceDN/>
              <w:adjustRightInd/>
              <w:spacing w:after="160" w:line="256" w:lineRule="auto"/>
              <w:ind w:left="709"/>
              <w:contextualSpacing/>
              <w:jc w:val="both"/>
            </w:pPr>
          </w:p>
        </w:tc>
        <w:tc>
          <w:tcPr>
            <w:tcW w:w="32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AC" w:rsidRPr="007067AE" w:rsidRDefault="00A61DAC" w:rsidP="009F59BC">
            <w:pPr>
              <w:jc w:val="center"/>
              <w:rPr>
                <w:b/>
                <w:sz w:val="22"/>
                <w:szCs w:val="22"/>
              </w:rPr>
            </w:pPr>
            <w:r w:rsidRPr="00692BA7">
              <w:rPr>
                <w:rFonts w:eastAsia="Calibri"/>
                <w:i/>
                <w:iCs/>
                <w:sz w:val="20"/>
                <w:lang w:eastAsia="en-US"/>
              </w:rPr>
              <w:t>Предлагаем принять.</w:t>
            </w:r>
          </w:p>
        </w:tc>
      </w:tr>
      <w:tr w:rsidR="00A61DAC" w:rsidRPr="007067AE" w:rsidTr="00A61DAC">
        <w:tc>
          <w:tcPr>
            <w:tcW w:w="482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C2" w:rsidRPr="002455C2" w:rsidRDefault="002455C2" w:rsidP="002455C2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Р.1 абзац 2 </w:t>
            </w:r>
            <w:r w:rsidRPr="002455C2">
              <w:rPr>
                <w:sz w:val="24"/>
                <w:szCs w:val="24"/>
              </w:rPr>
              <w:t xml:space="preserve">Настоящая политика разработана с учетом требований документов международных организаций по аккредитации: Европейской организации по аккредитации (European Cooperation for Accreditation) - EA, Азиатско-Тихоокеанского сотрудничества по аккредитации ( </w:t>
            </w:r>
            <w:r w:rsidRPr="002455C2">
              <w:rPr>
                <w:sz w:val="24"/>
                <w:szCs w:val="24"/>
                <w:lang w:val="en-US"/>
              </w:rPr>
              <w:t>Asia</w:t>
            </w:r>
            <w:r w:rsidRPr="002455C2">
              <w:rPr>
                <w:sz w:val="24"/>
                <w:szCs w:val="24"/>
              </w:rPr>
              <w:t xml:space="preserve"> </w:t>
            </w:r>
            <w:r w:rsidRPr="002455C2">
              <w:rPr>
                <w:sz w:val="24"/>
                <w:szCs w:val="24"/>
                <w:lang w:val="en-US"/>
              </w:rPr>
              <w:t>Pacific</w:t>
            </w:r>
            <w:r w:rsidRPr="002455C2">
              <w:rPr>
                <w:sz w:val="24"/>
                <w:szCs w:val="24"/>
              </w:rPr>
              <w:t xml:space="preserve"> </w:t>
            </w:r>
            <w:r w:rsidRPr="002455C2">
              <w:rPr>
                <w:sz w:val="24"/>
                <w:szCs w:val="24"/>
                <w:lang w:val="en-US"/>
              </w:rPr>
              <w:t>Accreditation</w:t>
            </w:r>
            <w:r w:rsidRPr="002455C2">
              <w:rPr>
                <w:sz w:val="24"/>
                <w:szCs w:val="24"/>
              </w:rPr>
              <w:t xml:space="preserve"> </w:t>
            </w:r>
            <w:r w:rsidRPr="002455C2">
              <w:rPr>
                <w:sz w:val="24"/>
                <w:szCs w:val="24"/>
                <w:lang w:val="en-US"/>
              </w:rPr>
              <w:t>Cooperation</w:t>
            </w:r>
            <w:r w:rsidRPr="002455C2">
              <w:rPr>
                <w:sz w:val="24"/>
                <w:szCs w:val="24"/>
              </w:rPr>
              <w:t xml:space="preserve">) – </w:t>
            </w:r>
            <w:r w:rsidRPr="002455C2">
              <w:rPr>
                <w:sz w:val="24"/>
                <w:szCs w:val="24"/>
                <w:lang w:val="en-US"/>
              </w:rPr>
              <w:t>APAC</w:t>
            </w:r>
            <w:r w:rsidRPr="002455C2">
              <w:rPr>
                <w:sz w:val="24"/>
                <w:szCs w:val="24"/>
              </w:rPr>
              <w:t xml:space="preserve">, Международной организации по аккредитации лабораторий (International Laboratory Accreditation </w:t>
            </w:r>
            <w:r w:rsidRPr="002455C2">
              <w:rPr>
                <w:sz w:val="24"/>
                <w:szCs w:val="24"/>
              </w:rPr>
              <w:lastRenderedPageBreak/>
              <w:t>Cooperation) - ILAC, Международного форума по аккредитации (International Accreditation Forum) – IAF.</w:t>
            </w:r>
          </w:p>
          <w:p w:rsidR="00A61DAC" w:rsidRPr="00185718" w:rsidRDefault="00A61DAC" w:rsidP="00185718">
            <w:pPr>
              <w:tabs>
                <w:tab w:val="left" w:pos="851"/>
              </w:tabs>
              <w:overflowPunct/>
              <w:autoSpaceDE/>
              <w:autoSpaceDN/>
              <w:adjustRightInd/>
              <w:spacing w:line="256" w:lineRule="auto"/>
              <w:ind w:firstLine="70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AC" w:rsidRPr="00185718" w:rsidRDefault="00A61DAC" w:rsidP="00A61DAC">
            <w:pPr>
              <w:numPr>
                <w:ilvl w:val="0"/>
                <w:numId w:val="4"/>
              </w:numPr>
              <w:tabs>
                <w:tab w:val="left" w:pos="709"/>
                <w:tab w:val="left" w:pos="851"/>
                <w:tab w:val="left" w:pos="993"/>
              </w:tabs>
              <w:overflowPunct/>
              <w:autoSpaceDE/>
              <w:autoSpaceDN/>
              <w:adjustRightInd/>
              <w:spacing w:after="160" w:line="256" w:lineRule="auto"/>
              <w:ind w:left="0" w:firstLine="709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85718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Считаем не целесообразным ссылаться на требования </w:t>
            </w:r>
            <w:r w:rsidRPr="00185718">
              <w:rPr>
                <w:rFonts w:eastAsia="Calibri"/>
                <w:sz w:val="24"/>
                <w:szCs w:val="24"/>
                <w:lang w:val="en-US" w:eastAsia="en-US"/>
              </w:rPr>
              <w:t>EA</w:t>
            </w:r>
            <w:r w:rsidRPr="00185718">
              <w:rPr>
                <w:rFonts w:eastAsia="Calibri"/>
                <w:sz w:val="24"/>
                <w:szCs w:val="24"/>
                <w:lang w:val="uz-Cyrl-UZ" w:eastAsia="en-US"/>
              </w:rPr>
              <w:t xml:space="preserve">, </w:t>
            </w:r>
            <w:r w:rsidRPr="00185718">
              <w:rPr>
                <w:rFonts w:eastAsia="Calibri"/>
                <w:sz w:val="24"/>
                <w:szCs w:val="24"/>
                <w:lang w:val="en-US" w:eastAsia="en-US"/>
              </w:rPr>
              <w:t>APAC</w:t>
            </w:r>
            <w:r w:rsidRPr="00185718">
              <w:rPr>
                <w:rFonts w:eastAsia="Calibri"/>
                <w:sz w:val="24"/>
                <w:szCs w:val="24"/>
                <w:lang w:val="uz-Cyrl-UZ" w:eastAsia="en-US"/>
              </w:rPr>
              <w:t>, так как область применения документов данных организаций распространяется на деятельность самих организаций и органов по аккредитации, входящих в их состав. Также необходимо отметить, что указанные документы не могут регулировать деятельность равной по статусу региональной организации</w:t>
            </w:r>
            <w:r w:rsidRPr="00185718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:rsidR="00A61DAC" w:rsidRPr="00185718" w:rsidRDefault="00A61DAC" w:rsidP="00A61DAC">
            <w:pPr>
              <w:tabs>
                <w:tab w:val="left" w:pos="851"/>
                <w:tab w:val="left" w:pos="993"/>
              </w:tabs>
              <w:overflowPunct/>
              <w:autoSpaceDE/>
              <w:autoSpaceDN/>
              <w:adjustRightInd/>
              <w:spacing w:line="256" w:lineRule="auto"/>
              <w:ind w:firstLine="709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85718">
              <w:rPr>
                <w:rFonts w:eastAsia="Calibri"/>
                <w:sz w:val="24"/>
                <w:szCs w:val="24"/>
                <w:lang w:eastAsia="en-US"/>
              </w:rPr>
              <w:t xml:space="preserve"> В связи с этим, </w:t>
            </w:r>
            <w:r w:rsidRPr="00185718">
              <w:rPr>
                <w:rFonts w:eastAsia="Calibri"/>
                <w:sz w:val="24"/>
                <w:szCs w:val="24"/>
                <w:lang w:val="uz-Cyrl-UZ" w:eastAsia="en-US"/>
              </w:rPr>
              <w:t xml:space="preserve">из второго абзаца </w:t>
            </w:r>
            <w:r w:rsidRPr="00185718">
              <w:rPr>
                <w:rFonts w:eastAsia="Calibri"/>
                <w:sz w:val="24"/>
                <w:szCs w:val="24"/>
                <w:lang w:val="uz-Cyrl-UZ" w:eastAsia="en-US"/>
              </w:rPr>
              <w:lastRenderedPageBreak/>
              <w:t xml:space="preserve">раздела 1 рекомендуем исключить выражение </w:t>
            </w:r>
            <w:r w:rsidRPr="00185718">
              <w:rPr>
                <w:rFonts w:eastAsia="Calibri"/>
                <w:sz w:val="24"/>
                <w:szCs w:val="24"/>
                <w:lang w:eastAsia="en-US"/>
              </w:rPr>
              <w:t xml:space="preserve">«Европейской организации по аккредитации (European Cooperation for Accreditation) - EA, Азиатско-Тихоокеанского сотрудничества по аккредитации (Asia Pacific Accreditation Cooperation) – APAC», а в целом по тексту и из раздела 4 рекомендуем исключить ссылку на </w:t>
            </w:r>
            <w:r w:rsidRPr="00185718">
              <w:rPr>
                <w:rFonts w:eastAsia="Calibri"/>
                <w:sz w:val="24"/>
                <w:szCs w:val="24"/>
                <w:lang w:val="uz-Cyrl-UZ" w:eastAsia="en-US"/>
              </w:rPr>
              <w:t xml:space="preserve">документ </w:t>
            </w:r>
            <w:r w:rsidRPr="00185718">
              <w:rPr>
                <w:rFonts w:eastAsia="Calibri"/>
                <w:sz w:val="24"/>
                <w:szCs w:val="24"/>
                <w:lang w:eastAsia="en-US"/>
              </w:rPr>
              <w:t>EA-2/13 «Политика и Процедура ЕА по трансграничной аккредитации, направленная на развитие сотрудничества между членами ЕА»</w:t>
            </w:r>
            <w:r w:rsidRPr="00185718">
              <w:rPr>
                <w:rFonts w:eastAsia="Calibri"/>
                <w:sz w:val="24"/>
                <w:szCs w:val="24"/>
                <w:lang w:val="uz-Cyrl-UZ" w:eastAsia="en-US"/>
              </w:rPr>
              <w:t>.</w:t>
            </w:r>
          </w:p>
          <w:p w:rsidR="00A61DAC" w:rsidRDefault="00A61DAC" w:rsidP="00A61DAC">
            <w:pPr>
              <w:tabs>
                <w:tab w:val="left" w:pos="360"/>
                <w:tab w:val="left" w:pos="851"/>
                <w:tab w:val="left" w:pos="993"/>
              </w:tabs>
              <w:overflowPunct/>
              <w:autoSpaceDE/>
              <w:autoSpaceDN/>
              <w:adjustRightInd/>
              <w:spacing w:after="160" w:line="256" w:lineRule="auto"/>
              <w:ind w:left="709"/>
              <w:contextualSpacing/>
              <w:jc w:val="both"/>
            </w:pPr>
          </w:p>
        </w:tc>
        <w:tc>
          <w:tcPr>
            <w:tcW w:w="32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AC" w:rsidRPr="007067AE" w:rsidRDefault="00A61DAC" w:rsidP="009F59BC">
            <w:pPr>
              <w:jc w:val="center"/>
              <w:rPr>
                <w:b/>
                <w:sz w:val="22"/>
                <w:szCs w:val="22"/>
              </w:rPr>
            </w:pPr>
            <w:r w:rsidRPr="00692BA7">
              <w:rPr>
                <w:rFonts w:eastAsia="Calibri"/>
                <w:i/>
                <w:iCs/>
                <w:sz w:val="20"/>
                <w:lang w:eastAsia="en-US"/>
              </w:rPr>
              <w:lastRenderedPageBreak/>
              <w:t>Предлагаем принять.</w:t>
            </w:r>
          </w:p>
        </w:tc>
      </w:tr>
      <w:tr w:rsidR="00A61DAC" w:rsidRPr="007067AE" w:rsidTr="00A61DAC">
        <w:tc>
          <w:tcPr>
            <w:tcW w:w="482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5C" w:rsidRPr="0031705C" w:rsidRDefault="0031705C" w:rsidP="0031705C">
            <w:pPr>
              <w:keepNext/>
              <w:keepLines/>
              <w:overflowPunct/>
              <w:autoSpaceDE/>
              <w:autoSpaceDN/>
              <w:adjustRightInd/>
              <w:ind w:firstLine="709"/>
              <w:outlineLvl w:val="0"/>
              <w:rPr>
                <w:rFonts w:eastAsiaTheme="majorEastAsia"/>
                <w:bCs/>
                <w:color w:val="000000"/>
                <w:sz w:val="24"/>
                <w:szCs w:val="24"/>
                <w:lang w:eastAsia="x-none"/>
              </w:rPr>
            </w:pPr>
            <w:bookmarkStart w:id="1" w:name="_Toc19798846"/>
            <w:r>
              <w:rPr>
                <w:rFonts w:eastAsiaTheme="majorEastAsia"/>
                <w:bCs/>
                <w:color w:val="000000"/>
                <w:sz w:val="24"/>
                <w:szCs w:val="24"/>
                <w:lang w:eastAsia="x-none"/>
              </w:rPr>
              <w:t>Р.</w:t>
            </w:r>
            <w:r w:rsidRPr="0031705C">
              <w:rPr>
                <w:rFonts w:eastAsiaTheme="majorEastAsia"/>
                <w:bCs/>
                <w:color w:val="000000"/>
                <w:sz w:val="24"/>
                <w:szCs w:val="24"/>
                <w:lang w:eastAsia="x-none"/>
              </w:rPr>
              <w:t>2. Сокращения, термины и определения</w:t>
            </w:r>
            <w:bookmarkEnd w:id="1"/>
          </w:p>
          <w:p w:rsidR="00A61DAC" w:rsidRPr="00185718" w:rsidRDefault="00A61DAC" w:rsidP="00185718">
            <w:pPr>
              <w:tabs>
                <w:tab w:val="left" w:pos="851"/>
              </w:tabs>
              <w:overflowPunct/>
              <w:autoSpaceDE/>
              <w:autoSpaceDN/>
              <w:adjustRightInd/>
              <w:spacing w:line="256" w:lineRule="auto"/>
              <w:ind w:firstLine="70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AC" w:rsidRPr="00185718" w:rsidRDefault="00A61DAC" w:rsidP="00A61DAC">
            <w:pPr>
              <w:tabs>
                <w:tab w:val="left" w:pos="709"/>
                <w:tab w:val="left" w:pos="851"/>
                <w:tab w:val="left" w:pos="993"/>
              </w:tabs>
              <w:overflowPunct/>
              <w:autoSpaceDE/>
              <w:autoSpaceDN/>
              <w:adjustRightInd/>
              <w:spacing w:after="160" w:line="256" w:lineRule="auto"/>
              <w:contextualSpacing/>
              <w:jc w:val="both"/>
              <w:rPr>
                <w:rFonts w:eastAsia="Calibri"/>
                <w:sz w:val="24"/>
                <w:szCs w:val="24"/>
                <w:lang w:val="uz-Cyrl-UZ" w:eastAsia="en-US"/>
              </w:rPr>
            </w:pPr>
            <w:r w:rsidRPr="00185718">
              <w:rPr>
                <w:rFonts w:eastAsia="Calibri"/>
                <w:sz w:val="24"/>
                <w:szCs w:val="24"/>
                <w:lang w:val="uz-Cyrl-UZ" w:eastAsia="en-US"/>
              </w:rPr>
              <w:t>Предлагается название раздела 2 представить в следую</w:t>
            </w:r>
            <w:r w:rsidRPr="00185718">
              <w:rPr>
                <w:rFonts w:eastAsia="Calibri"/>
                <w:sz w:val="24"/>
                <w:szCs w:val="24"/>
                <w:lang w:eastAsia="en-US"/>
              </w:rPr>
              <w:t xml:space="preserve">щей редакции: </w:t>
            </w:r>
            <w:r w:rsidRPr="0031705C">
              <w:rPr>
                <w:rFonts w:eastAsia="Calibri"/>
                <w:b/>
                <w:sz w:val="24"/>
                <w:szCs w:val="24"/>
                <w:lang w:eastAsia="en-US"/>
              </w:rPr>
              <w:t>«Сокращения и обозначения»</w:t>
            </w:r>
            <w:r w:rsidRPr="00185718">
              <w:rPr>
                <w:rFonts w:eastAsia="Calibri"/>
                <w:sz w:val="24"/>
                <w:szCs w:val="24"/>
                <w:lang w:eastAsia="en-US"/>
              </w:rPr>
              <w:t xml:space="preserve">, так как термины и их определения в данном разделе </w:t>
            </w:r>
            <w:r w:rsidRPr="00185718">
              <w:rPr>
                <w:rFonts w:eastAsia="Calibri"/>
                <w:sz w:val="24"/>
                <w:szCs w:val="24"/>
                <w:lang w:eastAsia="en-US"/>
              </w:rPr>
              <w:br/>
              <w:t>не приводятся.</w:t>
            </w:r>
          </w:p>
          <w:p w:rsidR="00A61DAC" w:rsidRPr="00A61DAC" w:rsidRDefault="00A61DAC" w:rsidP="00A61DAC">
            <w:pPr>
              <w:tabs>
                <w:tab w:val="left" w:pos="360"/>
                <w:tab w:val="left" w:pos="851"/>
                <w:tab w:val="left" w:pos="993"/>
              </w:tabs>
              <w:overflowPunct/>
              <w:autoSpaceDE/>
              <w:autoSpaceDN/>
              <w:adjustRightInd/>
              <w:spacing w:after="160" w:line="256" w:lineRule="auto"/>
              <w:ind w:left="709"/>
              <w:contextualSpacing/>
              <w:jc w:val="both"/>
              <w:rPr>
                <w:lang w:val="uz-Cyrl-UZ"/>
              </w:rPr>
            </w:pPr>
          </w:p>
        </w:tc>
        <w:tc>
          <w:tcPr>
            <w:tcW w:w="32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AC" w:rsidRPr="007067AE" w:rsidRDefault="00F40032" w:rsidP="009F59BC">
            <w:pPr>
              <w:jc w:val="center"/>
              <w:rPr>
                <w:b/>
                <w:sz w:val="22"/>
                <w:szCs w:val="22"/>
              </w:rPr>
            </w:pPr>
            <w:r w:rsidRPr="00692BA7">
              <w:rPr>
                <w:rFonts w:eastAsia="Calibri"/>
                <w:i/>
                <w:iCs/>
                <w:sz w:val="20"/>
                <w:lang w:eastAsia="en-US"/>
              </w:rPr>
              <w:t>Предлагаем принять.</w:t>
            </w:r>
          </w:p>
        </w:tc>
      </w:tr>
      <w:tr w:rsidR="00A61DAC" w:rsidRPr="007067AE" w:rsidTr="00A61DAC">
        <w:tc>
          <w:tcPr>
            <w:tcW w:w="482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AC" w:rsidRPr="00185718" w:rsidRDefault="00A61DAC" w:rsidP="00185718">
            <w:pPr>
              <w:tabs>
                <w:tab w:val="left" w:pos="851"/>
              </w:tabs>
              <w:overflowPunct/>
              <w:autoSpaceDE/>
              <w:autoSpaceDN/>
              <w:adjustRightInd/>
              <w:spacing w:line="256" w:lineRule="auto"/>
              <w:ind w:firstLine="70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AC" w:rsidRDefault="00A61DAC" w:rsidP="00A61DAC">
            <w:pPr>
              <w:tabs>
                <w:tab w:val="left" w:pos="360"/>
                <w:tab w:val="left" w:pos="851"/>
                <w:tab w:val="left" w:pos="993"/>
              </w:tabs>
              <w:overflowPunct/>
              <w:autoSpaceDE/>
              <w:autoSpaceDN/>
              <w:adjustRightInd/>
              <w:spacing w:after="160" w:line="256" w:lineRule="auto"/>
              <w:contextualSpacing/>
              <w:jc w:val="both"/>
            </w:pPr>
            <w:r w:rsidRPr="00185718">
              <w:rPr>
                <w:rFonts w:eastAsia="Calibri"/>
                <w:sz w:val="24"/>
                <w:szCs w:val="24"/>
                <w:lang w:val="uz-Cyrl-UZ" w:eastAsia="en-US"/>
              </w:rPr>
              <w:t>В раздел 4</w:t>
            </w:r>
            <w:r w:rsidRPr="00185718">
              <w:rPr>
                <w:rFonts w:eastAsia="Calibri"/>
                <w:sz w:val="24"/>
                <w:szCs w:val="24"/>
                <w:lang w:eastAsia="en-US"/>
              </w:rPr>
              <w:t xml:space="preserve"> «Нормативные ссылки и источники» включить документ IAF/</w:t>
            </w:r>
            <w:r w:rsidRPr="00185718">
              <w:rPr>
                <w:rFonts w:eastAsia="Calibri"/>
                <w:sz w:val="24"/>
                <w:szCs w:val="24"/>
                <w:lang w:val="en-US" w:eastAsia="en-US"/>
              </w:rPr>
              <w:t>I</w:t>
            </w:r>
            <w:r w:rsidRPr="00185718">
              <w:rPr>
                <w:rFonts w:eastAsia="Calibri"/>
                <w:sz w:val="24"/>
                <w:szCs w:val="24"/>
                <w:lang w:eastAsia="en-US"/>
              </w:rPr>
              <w:t>LAC A2:01/2018 «Многосторонние соглашения о взаимном признании договоренности IAF/ILAC</w:t>
            </w:r>
            <w:r w:rsidRPr="00185718">
              <w:rPr>
                <w:rFonts w:eastAsia="Calibri"/>
                <w:sz w:val="24"/>
                <w:szCs w:val="24"/>
                <w:lang w:val="uz-Cyrl-UZ" w:eastAsia="en-US"/>
              </w:rPr>
              <w:t>: требования и процедуры оценки единого органа по аккредитации</w:t>
            </w:r>
            <w:r w:rsidRPr="00185718">
              <w:rPr>
                <w:rFonts w:eastAsia="Calibri"/>
                <w:sz w:val="24"/>
                <w:szCs w:val="24"/>
                <w:lang w:eastAsia="en-US"/>
              </w:rPr>
              <w:t>»</w:t>
            </w:r>
            <w:r w:rsidRPr="00185718">
              <w:rPr>
                <w:rFonts w:eastAsia="Calibri"/>
                <w:sz w:val="24"/>
                <w:szCs w:val="24"/>
                <w:lang w:val="uz-Cyrl-UZ" w:eastAsia="en-US"/>
              </w:rPr>
              <w:t>, упомянутый  в первом абзаце пункта 3.2.2.</w:t>
            </w:r>
          </w:p>
        </w:tc>
        <w:tc>
          <w:tcPr>
            <w:tcW w:w="32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AC" w:rsidRPr="007067AE" w:rsidRDefault="00A61DAC" w:rsidP="009F59B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eastAsia="Calibri"/>
                <w:i/>
                <w:iCs/>
                <w:sz w:val="20"/>
                <w:lang w:eastAsia="en-US"/>
              </w:rPr>
              <w:t>Принято разработчиком</w:t>
            </w:r>
          </w:p>
        </w:tc>
      </w:tr>
      <w:tr w:rsidR="003F18F0" w:rsidRPr="007067AE" w:rsidTr="003F18F0">
        <w:trPr>
          <w:trHeight w:val="461"/>
        </w:trPr>
        <w:tc>
          <w:tcPr>
            <w:tcW w:w="13184" w:type="dxa"/>
            <w:gridSpan w:val="4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3F18F0" w:rsidRDefault="003F18F0" w:rsidP="009F59BC">
            <w:pPr>
              <w:jc w:val="center"/>
              <w:rPr>
                <w:b/>
                <w:sz w:val="22"/>
                <w:szCs w:val="22"/>
              </w:rPr>
            </w:pPr>
            <w:r w:rsidRPr="00A3572A">
              <w:rPr>
                <w:b/>
                <w:sz w:val="22"/>
                <w:szCs w:val="22"/>
              </w:rPr>
              <w:t>Украина</w:t>
            </w:r>
          </w:p>
          <w:p w:rsidR="003F18F0" w:rsidRPr="007067AE" w:rsidRDefault="003F18F0" w:rsidP="009F59BC">
            <w:pPr>
              <w:jc w:val="center"/>
            </w:pPr>
            <w:r>
              <w:rPr>
                <w:sz w:val="22"/>
                <w:szCs w:val="22"/>
              </w:rPr>
              <w:t>(</w:t>
            </w:r>
            <w:r w:rsidRPr="00A3572A">
              <w:rPr>
                <w:sz w:val="22"/>
                <w:szCs w:val="22"/>
              </w:rPr>
              <w:t>предложения не поступали</w:t>
            </w:r>
            <w:r>
              <w:rPr>
                <w:sz w:val="22"/>
                <w:szCs w:val="22"/>
              </w:rPr>
              <w:t>)</w:t>
            </w:r>
          </w:p>
        </w:tc>
      </w:tr>
    </w:tbl>
    <w:p w:rsidR="00151A9A" w:rsidRDefault="00151A9A" w:rsidP="003F18F0">
      <w:pPr>
        <w:rPr>
          <w:sz w:val="22"/>
          <w:szCs w:val="22"/>
        </w:rPr>
      </w:pPr>
    </w:p>
    <w:sectPr w:rsidR="00151A9A" w:rsidSect="009F59BC">
      <w:headerReference w:type="default" r:id="rId8"/>
      <w:pgSz w:w="16838" w:h="11906" w:orient="landscape"/>
      <w:pgMar w:top="1134" w:right="2096" w:bottom="993" w:left="1701" w:header="708" w:footer="24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4C0F" w:rsidRDefault="00564C0F" w:rsidP="00E97949">
      <w:r>
        <w:separator/>
      </w:r>
    </w:p>
  </w:endnote>
  <w:endnote w:type="continuationSeparator" w:id="0">
    <w:p w:rsidR="00564C0F" w:rsidRDefault="00564C0F" w:rsidP="00E97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4C0F" w:rsidRDefault="00564C0F" w:rsidP="00E97949">
      <w:r>
        <w:separator/>
      </w:r>
    </w:p>
  </w:footnote>
  <w:footnote w:type="continuationSeparator" w:id="0">
    <w:p w:rsidR="00564C0F" w:rsidRDefault="00564C0F" w:rsidP="00E979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8284345"/>
      <w:docPartObj>
        <w:docPartGallery w:val="Page Numbers (Top of Page)"/>
        <w:docPartUnique/>
      </w:docPartObj>
    </w:sdtPr>
    <w:sdtEndPr/>
    <w:sdtContent>
      <w:p w:rsidR="00FA2981" w:rsidRDefault="007932B0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7459">
          <w:rPr>
            <w:noProof/>
          </w:rPr>
          <w:t>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17A0C"/>
    <w:multiLevelType w:val="hybridMultilevel"/>
    <w:tmpl w:val="77F21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5009DE"/>
    <w:multiLevelType w:val="hybridMultilevel"/>
    <w:tmpl w:val="5C2C694A"/>
    <w:lvl w:ilvl="0" w:tplc="E61A163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BA91C0C"/>
    <w:multiLevelType w:val="hybridMultilevel"/>
    <w:tmpl w:val="876A53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1418D9"/>
    <w:multiLevelType w:val="hybridMultilevel"/>
    <w:tmpl w:val="03C2927C"/>
    <w:lvl w:ilvl="0" w:tplc="6B868A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9AC"/>
    <w:rsid w:val="000075FF"/>
    <w:rsid w:val="000217F2"/>
    <w:rsid w:val="000B36A1"/>
    <w:rsid w:val="000E1EE5"/>
    <w:rsid w:val="000F3642"/>
    <w:rsid w:val="001016C4"/>
    <w:rsid w:val="00101BE8"/>
    <w:rsid w:val="001176D7"/>
    <w:rsid w:val="00151A9A"/>
    <w:rsid w:val="00176FF4"/>
    <w:rsid w:val="00185718"/>
    <w:rsid w:val="001C1245"/>
    <w:rsid w:val="001D5819"/>
    <w:rsid w:val="00224FDC"/>
    <w:rsid w:val="00236056"/>
    <w:rsid w:val="0023766E"/>
    <w:rsid w:val="002455C2"/>
    <w:rsid w:val="00270A12"/>
    <w:rsid w:val="00296799"/>
    <w:rsid w:val="002C19BD"/>
    <w:rsid w:val="002D37F7"/>
    <w:rsid w:val="002E5F13"/>
    <w:rsid w:val="0030150F"/>
    <w:rsid w:val="00312B2E"/>
    <w:rsid w:val="0031705C"/>
    <w:rsid w:val="003358C2"/>
    <w:rsid w:val="00392461"/>
    <w:rsid w:val="003E100A"/>
    <w:rsid w:val="003F18F0"/>
    <w:rsid w:val="00416E74"/>
    <w:rsid w:val="004F0834"/>
    <w:rsid w:val="005046B5"/>
    <w:rsid w:val="00535A39"/>
    <w:rsid w:val="00552D85"/>
    <w:rsid w:val="00564C0F"/>
    <w:rsid w:val="005735D7"/>
    <w:rsid w:val="005C0C43"/>
    <w:rsid w:val="00611849"/>
    <w:rsid w:val="00616B82"/>
    <w:rsid w:val="006269AA"/>
    <w:rsid w:val="00660900"/>
    <w:rsid w:val="006B6B6A"/>
    <w:rsid w:val="006D326B"/>
    <w:rsid w:val="006E2576"/>
    <w:rsid w:val="006E48A1"/>
    <w:rsid w:val="0071018B"/>
    <w:rsid w:val="0077186D"/>
    <w:rsid w:val="007871AB"/>
    <w:rsid w:val="007932B0"/>
    <w:rsid w:val="0079448D"/>
    <w:rsid w:val="007F3050"/>
    <w:rsid w:val="00886AA0"/>
    <w:rsid w:val="008A3411"/>
    <w:rsid w:val="008B46D3"/>
    <w:rsid w:val="008C3DA5"/>
    <w:rsid w:val="008C60CF"/>
    <w:rsid w:val="008C79AC"/>
    <w:rsid w:val="008D3A60"/>
    <w:rsid w:val="008F335A"/>
    <w:rsid w:val="00931BA5"/>
    <w:rsid w:val="00956934"/>
    <w:rsid w:val="00980908"/>
    <w:rsid w:val="009B499A"/>
    <w:rsid w:val="009E370D"/>
    <w:rsid w:val="009F59BC"/>
    <w:rsid w:val="00A22720"/>
    <w:rsid w:val="00A61DAC"/>
    <w:rsid w:val="00A71F87"/>
    <w:rsid w:val="00AA32F4"/>
    <w:rsid w:val="00AD1D29"/>
    <w:rsid w:val="00AF5C5E"/>
    <w:rsid w:val="00AF6760"/>
    <w:rsid w:val="00B03845"/>
    <w:rsid w:val="00B044C1"/>
    <w:rsid w:val="00B16B7F"/>
    <w:rsid w:val="00B174C1"/>
    <w:rsid w:val="00B51BB9"/>
    <w:rsid w:val="00BB36FB"/>
    <w:rsid w:val="00BE4DF5"/>
    <w:rsid w:val="00C17EDD"/>
    <w:rsid w:val="00CA18AB"/>
    <w:rsid w:val="00CA609F"/>
    <w:rsid w:val="00CF1435"/>
    <w:rsid w:val="00D355F3"/>
    <w:rsid w:val="00D37716"/>
    <w:rsid w:val="00D62E98"/>
    <w:rsid w:val="00D82B41"/>
    <w:rsid w:val="00DA752E"/>
    <w:rsid w:val="00DD1376"/>
    <w:rsid w:val="00DD5570"/>
    <w:rsid w:val="00DD7459"/>
    <w:rsid w:val="00E2439E"/>
    <w:rsid w:val="00E25861"/>
    <w:rsid w:val="00E53261"/>
    <w:rsid w:val="00E81720"/>
    <w:rsid w:val="00E97949"/>
    <w:rsid w:val="00EB3E1F"/>
    <w:rsid w:val="00EC7E0C"/>
    <w:rsid w:val="00EF002C"/>
    <w:rsid w:val="00EF2D78"/>
    <w:rsid w:val="00F40032"/>
    <w:rsid w:val="00F65958"/>
    <w:rsid w:val="00FA3163"/>
    <w:rsid w:val="00FB11FC"/>
    <w:rsid w:val="00FE2814"/>
    <w:rsid w:val="00FF7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080EBB-7BCE-4F64-B2EF-B07DF7EE6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A9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1A9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1A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nhideWhenUsed/>
    <w:rsid w:val="00151A9A"/>
    <w:pPr>
      <w:jc w:val="center"/>
    </w:pPr>
    <w:rPr>
      <w:rFonts w:ascii="Times New Roman CYR" w:hAnsi="Times New Roman CYR"/>
      <w:b/>
    </w:rPr>
  </w:style>
  <w:style w:type="character" w:customStyle="1" w:styleId="a6">
    <w:name w:val="Основной текст Знак"/>
    <w:basedOn w:val="a0"/>
    <w:link w:val="a5"/>
    <w:rsid w:val="00151A9A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151A9A"/>
    <w:pPr>
      <w:spacing w:after="120" w:line="240" w:lineRule="exact"/>
      <w:jc w:val="both"/>
    </w:pPr>
    <w:rPr>
      <w:rFonts w:ascii="Times New Roman CYR" w:hAnsi="Times New Roman CYR"/>
      <w:sz w:val="24"/>
    </w:rPr>
  </w:style>
  <w:style w:type="character" w:customStyle="1" w:styleId="20">
    <w:name w:val="Основной текст 2 Знак"/>
    <w:basedOn w:val="a0"/>
    <w:link w:val="2"/>
    <w:rsid w:val="00151A9A"/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51A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51A9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9">
    <w:name w:val="Table Grid"/>
    <w:basedOn w:val="a1"/>
    <w:uiPriority w:val="59"/>
    <w:rsid w:val="006E25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044C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3E100A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AD1D2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D1D29"/>
    <w:rPr>
      <w:sz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D1D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D1D2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D1D2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AD1D29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AD1D2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f2">
    <w:name w:val="!ТекстРА"/>
    <w:basedOn w:val="3"/>
    <w:qFormat/>
    <w:rsid w:val="0031705C"/>
    <w:pPr>
      <w:widowControl w:val="0"/>
      <w:overflowPunct/>
      <w:autoSpaceDE/>
      <w:autoSpaceDN/>
      <w:adjustRightInd/>
      <w:spacing w:after="0"/>
      <w:ind w:firstLine="709"/>
      <w:jc w:val="both"/>
    </w:pPr>
    <w:rPr>
      <w:color w:val="000000"/>
      <w:sz w:val="28"/>
      <w:szCs w:val="24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31705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705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3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84C08-8D93-4402-9B9A-719D47998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1803</Words>
  <Characters>10279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client801_11</dc:creator>
  <cp:lastModifiedBy>Анна Шинкарёва</cp:lastModifiedBy>
  <cp:revision>18</cp:revision>
  <dcterms:created xsi:type="dcterms:W3CDTF">2021-11-16T04:52:00Z</dcterms:created>
  <dcterms:modified xsi:type="dcterms:W3CDTF">2021-11-18T12:14:00Z</dcterms:modified>
</cp:coreProperties>
</file>